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79BC5" w14:textId="6F126E4F" w:rsidR="00A95CF5" w:rsidRPr="000E62DD" w:rsidRDefault="00E90E49" w:rsidP="00E35559">
      <w:pPr>
        <w:pStyle w:val="3GPPHeader"/>
        <w:spacing w:after="60"/>
        <w:rPr>
          <w:sz w:val="32"/>
          <w:szCs w:val="32"/>
          <w:lang w:val="de-DE"/>
        </w:rPr>
      </w:pPr>
      <w:r w:rsidRPr="000E62DD">
        <w:rPr>
          <w:lang w:val="de-DE"/>
        </w:rPr>
        <w:t>3GPP TSG-RAN WG</w:t>
      </w:r>
      <w:r w:rsidR="00B9371D" w:rsidRPr="000E62DD">
        <w:rPr>
          <w:lang w:val="de-DE"/>
        </w:rPr>
        <w:t>1</w:t>
      </w:r>
      <w:r w:rsidRPr="000E62DD">
        <w:rPr>
          <w:lang w:val="de-DE"/>
        </w:rPr>
        <w:t xml:space="preserve"> </w:t>
      </w:r>
      <w:r w:rsidR="0067221B">
        <w:rPr>
          <w:lang w:val="de-DE"/>
        </w:rPr>
        <w:t xml:space="preserve">Meeting </w:t>
      </w:r>
      <w:r w:rsidRPr="000E62DD">
        <w:rPr>
          <w:lang w:val="de-DE"/>
        </w:rPr>
        <w:t>#</w:t>
      </w:r>
      <w:r w:rsidR="00170C0D" w:rsidRPr="000E62DD">
        <w:rPr>
          <w:lang w:val="de-DE"/>
        </w:rPr>
        <w:t>86</w:t>
      </w:r>
      <w:r w:rsidR="00660020" w:rsidRPr="000E62DD">
        <w:rPr>
          <w:lang w:val="de-DE"/>
        </w:rPr>
        <w:t>bis</w:t>
      </w:r>
      <w:r w:rsidRPr="000E62DD">
        <w:rPr>
          <w:lang w:val="de-DE"/>
        </w:rPr>
        <w:tab/>
      </w:r>
      <w:r w:rsidR="00A95CF5" w:rsidRPr="000E62DD">
        <w:rPr>
          <w:sz w:val="32"/>
          <w:szCs w:val="32"/>
          <w:lang w:val="de-DE"/>
        </w:rPr>
        <w:t>R1-</w:t>
      </w:r>
      <w:r w:rsidR="0069729E" w:rsidRPr="000E62DD">
        <w:rPr>
          <w:sz w:val="32"/>
          <w:szCs w:val="32"/>
          <w:lang w:val="de-DE"/>
        </w:rPr>
        <w:t>16</w:t>
      </w:r>
      <w:r w:rsidR="0067221B">
        <w:rPr>
          <w:sz w:val="32"/>
          <w:szCs w:val="32"/>
          <w:lang w:val="de-DE"/>
        </w:rPr>
        <w:t>09669</w:t>
      </w:r>
    </w:p>
    <w:p w14:paraId="6EFFA1AA" w14:textId="26755688" w:rsidR="00170C0D" w:rsidRPr="00CE0424" w:rsidRDefault="00660020" w:rsidP="00170C0D">
      <w:pPr>
        <w:pStyle w:val="3GPPHeader"/>
      </w:pPr>
      <w:r w:rsidRPr="00D80376">
        <w:t xml:space="preserve">Lisbon, Portugal, </w:t>
      </w:r>
      <w:r w:rsidR="00031882">
        <w:t>October</w:t>
      </w:r>
      <w:r w:rsidRPr="00D80376">
        <w:t xml:space="preserve"> 10-14, 2016</w:t>
      </w:r>
    </w:p>
    <w:p w14:paraId="5FE9F370" w14:textId="77777777" w:rsidR="00E90E49" w:rsidRPr="00CE0424" w:rsidRDefault="00E90E49" w:rsidP="00357380">
      <w:pPr>
        <w:pStyle w:val="3GPPHeader"/>
      </w:pPr>
    </w:p>
    <w:p w14:paraId="2D2CF31E" w14:textId="6F282376" w:rsidR="00E90E49" w:rsidRPr="007369A2" w:rsidRDefault="00E90E49" w:rsidP="00311702">
      <w:pPr>
        <w:pStyle w:val="3GPPHeader"/>
        <w:rPr>
          <w:sz w:val="22"/>
          <w:szCs w:val="22"/>
          <w:lang w:val="en-US"/>
        </w:rPr>
      </w:pPr>
      <w:r w:rsidRPr="007369A2">
        <w:rPr>
          <w:sz w:val="22"/>
          <w:szCs w:val="22"/>
          <w:lang w:val="en-US"/>
        </w:rPr>
        <w:t>Agenda Item:</w:t>
      </w:r>
      <w:r w:rsidRPr="007369A2">
        <w:rPr>
          <w:sz w:val="22"/>
          <w:szCs w:val="22"/>
          <w:lang w:val="en-US"/>
        </w:rPr>
        <w:tab/>
      </w:r>
      <w:r w:rsidR="00763252">
        <w:rPr>
          <w:sz w:val="22"/>
          <w:szCs w:val="22"/>
          <w:lang w:val="en-US"/>
        </w:rPr>
        <w:t>8.1.</w:t>
      </w:r>
      <w:r w:rsidR="00660020">
        <w:rPr>
          <w:sz w:val="22"/>
          <w:szCs w:val="22"/>
          <w:lang w:val="en-US"/>
        </w:rPr>
        <w:t>5</w:t>
      </w:r>
      <w:r w:rsidR="0067221B">
        <w:rPr>
          <w:sz w:val="22"/>
          <w:szCs w:val="22"/>
          <w:lang w:val="en-US"/>
        </w:rPr>
        <w:t>.1</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3155E6C7" w:rsidR="00E90E49" w:rsidRPr="00CE0424" w:rsidRDefault="003D3C45" w:rsidP="00311702">
      <w:pPr>
        <w:pStyle w:val="3GPPHeader"/>
        <w:rPr>
          <w:sz w:val="22"/>
          <w:szCs w:val="22"/>
        </w:rPr>
      </w:pPr>
      <w:r>
        <w:rPr>
          <w:sz w:val="22"/>
          <w:szCs w:val="22"/>
        </w:rPr>
        <w:t>Title:</w:t>
      </w:r>
      <w:r w:rsidR="00E90E49" w:rsidRPr="00CE0424">
        <w:rPr>
          <w:sz w:val="22"/>
          <w:szCs w:val="22"/>
        </w:rPr>
        <w:tab/>
      </w:r>
      <w:r w:rsidR="007539C9" w:rsidRPr="007539C9">
        <w:rPr>
          <w:sz w:val="22"/>
          <w:szCs w:val="22"/>
        </w:rPr>
        <w:t>Overview of synchronization signal design for NR initial access</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E30225">
      <w:pPr>
        <w:pStyle w:val="Heading1"/>
      </w:pPr>
      <w:r w:rsidRPr="00CE0424">
        <w:t>Introduction</w:t>
      </w:r>
    </w:p>
    <w:p w14:paraId="14D9074B" w14:textId="77777777" w:rsidR="000D24D9" w:rsidRPr="00E9149C" w:rsidRDefault="000D24D9" w:rsidP="000D24D9">
      <w:pPr>
        <w:pStyle w:val="BodyText"/>
      </w:pPr>
      <w:r>
        <w:t>In RAN1#86, the following agreement was made:</w:t>
      </w:r>
    </w:p>
    <w:p w14:paraId="4A735225" w14:textId="77777777" w:rsidR="000D24D9" w:rsidRPr="00C4570A" w:rsidRDefault="000D24D9" w:rsidP="000D24D9">
      <w:pPr>
        <w:numPr>
          <w:ilvl w:val="0"/>
          <w:numId w:val="27"/>
        </w:numPr>
        <w:overflowPunct/>
        <w:autoSpaceDE/>
        <w:autoSpaceDN/>
        <w:adjustRightInd/>
        <w:spacing w:after="0"/>
        <w:jc w:val="left"/>
        <w:textAlignment w:val="auto"/>
        <w:rPr>
          <w:rFonts w:eastAsia="MS Mincho"/>
          <w:lang w:val="en-US" w:eastAsia="ja-JP"/>
        </w:rPr>
      </w:pPr>
      <w:r w:rsidRPr="00C4570A">
        <w:rPr>
          <w:rFonts w:eastAsia="MS Mincho"/>
          <w:lang w:val="en-US" w:eastAsia="ja-JP"/>
        </w:rPr>
        <w:t xml:space="preserve">For </w:t>
      </w:r>
      <w:r>
        <w:rPr>
          <w:rFonts w:eastAsia="MS Mincho" w:hint="eastAsia"/>
          <w:lang w:val="en-US" w:eastAsia="ja-JP"/>
        </w:rPr>
        <w:t>subcarrier spacing</w:t>
      </w:r>
      <w:r w:rsidRPr="00C4570A">
        <w:rPr>
          <w:rFonts w:eastAsia="MS Mincho"/>
          <w:lang w:val="en-US" w:eastAsia="ja-JP"/>
        </w:rPr>
        <w:t xml:space="preserve"> of each synchronization signal</w:t>
      </w:r>
      <w:r>
        <w:rPr>
          <w:rFonts w:eastAsia="MS Mincho" w:hint="eastAsia"/>
          <w:lang w:val="en-US" w:eastAsia="ja-JP"/>
        </w:rPr>
        <w:t xml:space="preserve"> </w:t>
      </w:r>
      <w:r w:rsidRPr="00C4570A">
        <w:rPr>
          <w:rFonts w:eastAsia="MS Mincho"/>
          <w:lang w:val="en-US" w:eastAsia="ja-JP"/>
        </w:rPr>
        <w:t>(e.g. NR PSS,SSS) in a NR carrier, the following alternatives should be studied</w:t>
      </w:r>
    </w:p>
    <w:p w14:paraId="45232CCF" w14:textId="77777777" w:rsidR="000D24D9" w:rsidRPr="00C4570A" w:rsidRDefault="000D24D9" w:rsidP="000D24D9">
      <w:pPr>
        <w:numPr>
          <w:ilvl w:val="1"/>
          <w:numId w:val="27"/>
        </w:numPr>
        <w:overflowPunct/>
        <w:autoSpaceDE/>
        <w:autoSpaceDN/>
        <w:adjustRightInd/>
        <w:spacing w:after="0"/>
        <w:jc w:val="left"/>
        <w:textAlignment w:val="auto"/>
        <w:rPr>
          <w:rFonts w:eastAsia="MS Mincho"/>
          <w:lang w:val="en-US" w:eastAsia="ja-JP"/>
        </w:rPr>
      </w:pPr>
      <w:r w:rsidRPr="00C4570A">
        <w:rPr>
          <w:rFonts w:eastAsia="MS Mincho"/>
          <w:lang w:val="en-US" w:eastAsia="ja-JP"/>
        </w:rPr>
        <w:t xml:space="preserve">Alt 1: </w:t>
      </w:r>
      <w:r>
        <w:rPr>
          <w:rFonts w:eastAsia="MS Mincho" w:hint="eastAsia"/>
          <w:lang w:val="en-US" w:eastAsia="ja-JP"/>
        </w:rPr>
        <w:t>Subcarrier spacing</w:t>
      </w:r>
      <w:r w:rsidRPr="00C4570A">
        <w:rPr>
          <w:rFonts w:eastAsia="MS Mincho"/>
          <w:lang w:val="en-US" w:eastAsia="ja-JP"/>
        </w:rPr>
        <w:t xml:space="preserve"> is predefined in the specification for a given frequency range</w:t>
      </w:r>
    </w:p>
    <w:p w14:paraId="717AD318" w14:textId="77777777" w:rsidR="000D24D9" w:rsidRDefault="000D24D9" w:rsidP="000D24D9">
      <w:pPr>
        <w:numPr>
          <w:ilvl w:val="2"/>
          <w:numId w:val="27"/>
        </w:numPr>
        <w:overflowPunct/>
        <w:autoSpaceDE/>
        <w:autoSpaceDN/>
        <w:adjustRightInd/>
        <w:spacing w:after="0"/>
        <w:jc w:val="left"/>
        <w:textAlignment w:val="auto"/>
        <w:rPr>
          <w:rFonts w:eastAsia="MS Mincho"/>
          <w:lang w:val="en-US" w:eastAsia="ja-JP"/>
        </w:rPr>
      </w:pPr>
      <w:r w:rsidRPr="00C4570A">
        <w:rPr>
          <w:rFonts w:eastAsia="MS Mincho"/>
          <w:lang w:val="en-US" w:eastAsia="ja-JP"/>
        </w:rPr>
        <w:t>Ex: 15kHz for sub-6GHz, 60kHz for over-6GHz</w:t>
      </w:r>
    </w:p>
    <w:p w14:paraId="10012E04" w14:textId="77777777" w:rsidR="000D24D9" w:rsidRPr="00C4570A" w:rsidRDefault="000D24D9" w:rsidP="000D24D9">
      <w:pPr>
        <w:numPr>
          <w:ilvl w:val="2"/>
          <w:numId w:val="27"/>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there are more than one frequency ranges</w:t>
      </w:r>
    </w:p>
    <w:p w14:paraId="184F1151" w14:textId="77777777" w:rsidR="000D24D9" w:rsidRPr="00C4570A" w:rsidRDefault="000D24D9" w:rsidP="000D24D9">
      <w:pPr>
        <w:numPr>
          <w:ilvl w:val="1"/>
          <w:numId w:val="27"/>
        </w:numPr>
        <w:overflowPunct/>
        <w:autoSpaceDE/>
        <w:autoSpaceDN/>
        <w:adjustRightInd/>
        <w:spacing w:after="0"/>
        <w:jc w:val="left"/>
        <w:textAlignment w:val="auto"/>
        <w:rPr>
          <w:rFonts w:eastAsia="MS Mincho"/>
          <w:lang w:val="en-US" w:eastAsia="ja-JP"/>
        </w:rPr>
      </w:pPr>
      <w:r w:rsidRPr="00C4570A">
        <w:rPr>
          <w:rFonts w:eastAsia="MS Mincho"/>
          <w:lang w:val="en-US" w:eastAsia="ja-JP"/>
        </w:rPr>
        <w:t xml:space="preserve">Alt 2: </w:t>
      </w:r>
      <w:r>
        <w:rPr>
          <w:rFonts w:eastAsia="MS Mincho" w:hint="eastAsia"/>
          <w:lang w:val="en-US" w:eastAsia="ja-JP"/>
        </w:rPr>
        <w:t>Subcarrier spacing</w:t>
      </w:r>
      <w:r>
        <w:rPr>
          <w:rFonts w:eastAsia="MS Mincho"/>
          <w:lang w:val="en-US" w:eastAsia="ja-JP"/>
        </w:rPr>
        <w:t xml:space="preserve"> is selected by NR BS</w:t>
      </w:r>
    </w:p>
    <w:p w14:paraId="2C581D4E" w14:textId="77777777" w:rsidR="000D24D9" w:rsidRPr="00C4570A" w:rsidRDefault="000D24D9" w:rsidP="000D24D9">
      <w:pPr>
        <w:numPr>
          <w:ilvl w:val="2"/>
          <w:numId w:val="27"/>
        </w:numPr>
        <w:overflowPunct/>
        <w:autoSpaceDE/>
        <w:autoSpaceDN/>
        <w:adjustRightInd/>
        <w:spacing w:after="0"/>
        <w:jc w:val="left"/>
        <w:textAlignment w:val="auto"/>
        <w:rPr>
          <w:rFonts w:eastAsia="MS Mincho"/>
          <w:lang w:val="en-US" w:eastAsia="ja-JP"/>
        </w:rPr>
      </w:pPr>
      <w:r w:rsidRPr="00C4570A">
        <w:rPr>
          <w:rFonts w:eastAsia="MS Mincho"/>
          <w:lang w:val="en-US" w:eastAsia="ja-JP"/>
        </w:rPr>
        <w:t>FFS: Details on the set of possible numerologies</w:t>
      </w:r>
    </w:p>
    <w:p w14:paraId="4B68FABF" w14:textId="77777777" w:rsidR="000D24D9" w:rsidRDefault="000D24D9" w:rsidP="000D24D9">
      <w:pPr>
        <w:numPr>
          <w:ilvl w:val="2"/>
          <w:numId w:val="27"/>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Blind detection of multiple numerologies can be considered</w:t>
      </w:r>
    </w:p>
    <w:p w14:paraId="1568612F" w14:textId="77777777" w:rsidR="000D24D9" w:rsidRDefault="000D24D9" w:rsidP="000D24D9">
      <w:pPr>
        <w:numPr>
          <w:ilvl w:val="1"/>
          <w:numId w:val="27"/>
        </w:numPr>
        <w:overflowPunct/>
        <w:autoSpaceDE/>
        <w:autoSpaceDN/>
        <w:adjustRightInd/>
        <w:spacing w:after="0"/>
        <w:jc w:val="left"/>
        <w:textAlignment w:val="auto"/>
        <w:rPr>
          <w:rFonts w:eastAsia="MS Mincho"/>
          <w:lang w:val="en-US" w:eastAsia="ja-JP"/>
        </w:rPr>
      </w:pPr>
      <w:r>
        <w:rPr>
          <w:rFonts w:eastAsia="MS Mincho"/>
          <w:lang w:val="en-US" w:eastAsia="ja-JP"/>
        </w:rPr>
        <w:t xml:space="preserve">Alt </w:t>
      </w:r>
      <w:r>
        <w:rPr>
          <w:rFonts w:eastAsia="MS Mincho" w:hint="eastAsia"/>
          <w:lang w:val="en-US" w:eastAsia="ja-JP"/>
        </w:rPr>
        <w:t>3</w:t>
      </w:r>
      <w:r>
        <w:rPr>
          <w:rFonts w:eastAsia="MS Mincho"/>
          <w:lang w:val="en-US" w:eastAsia="ja-JP"/>
        </w:rPr>
        <w:t xml:space="preserve">: </w:t>
      </w:r>
      <w:r>
        <w:rPr>
          <w:rFonts w:eastAsia="MS Mincho" w:hint="eastAsia"/>
          <w:lang w:val="en-US" w:eastAsia="ja-JP"/>
        </w:rPr>
        <w:t>Single</w:t>
      </w:r>
      <w:r w:rsidRPr="00C4570A">
        <w:rPr>
          <w:rFonts w:eastAsia="MS Mincho"/>
          <w:lang w:val="en-US" w:eastAsia="ja-JP"/>
        </w:rPr>
        <w:t xml:space="preserve"> </w:t>
      </w:r>
      <w:r>
        <w:rPr>
          <w:rFonts w:eastAsia="MS Mincho" w:hint="eastAsia"/>
          <w:lang w:val="en-US" w:eastAsia="ja-JP"/>
        </w:rPr>
        <w:t>subcarrier spacing</w:t>
      </w:r>
      <w:r w:rsidRPr="00C4570A">
        <w:rPr>
          <w:rFonts w:eastAsia="MS Mincho"/>
          <w:lang w:val="en-US" w:eastAsia="ja-JP"/>
        </w:rPr>
        <w:t xml:space="preserve"> </w:t>
      </w:r>
      <w:r>
        <w:rPr>
          <w:rFonts w:eastAsia="MS Mincho" w:hint="eastAsia"/>
          <w:lang w:val="en-US" w:eastAsia="ja-JP"/>
        </w:rPr>
        <w:t>is predefined in the specification for all frequency ranges</w:t>
      </w:r>
    </w:p>
    <w:p w14:paraId="6064FBD9" w14:textId="77777777" w:rsidR="000D24D9" w:rsidRDefault="000D24D9" w:rsidP="000D24D9">
      <w:pPr>
        <w:numPr>
          <w:ilvl w:val="1"/>
          <w:numId w:val="27"/>
        </w:numPr>
        <w:overflowPunct/>
        <w:autoSpaceDE/>
        <w:autoSpaceDN/>
        <w:adjustRightInd/>
        <w:spacing w:after="0"/>
        <w:jc w:val="left"/>
        <w:textAlignment w:val="auto"/>
        <w:rPr>
          <w:rFonts w:eastAsia="MS Mincho"/>
          <w:lang w:val="en-US" w:eastAsia="ja-JP"/>
        </w:rPr>
      </w:pPr>
      <w:r>
        <w:rPr>
          <w:rFonts w:eastAsia="MS Mincho" w:hint="eastAsia"/>
          <w:lang w:val="en-US" w:eastAsia="ja-JP"/>
        </w:rPr>
        <w:t>Other alternatives are not precluded</w:t>
      </w:r>
    </w:p>
    <w:p w14:paraId="1D1EA161" w14:textId="77777777" w:rsidR="000D24D9" w:rsidRDefault="000D24D9" w:rsidP="000D24D9">
      <w:pPr>
        <w:numPr>
          <w:ilvl w:val="0"/>
          <w:numId w:val="2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NR </w:t>
      </w:r>
      <w:r>
        <w:rPr>
          <w:rFonts w:eastAsia="MS Mincho"/>
          <w:lang w:val="en-US" w:eastAsia="ja-JP"/>
        </w:rPr>
        <w:t>synchronization</w:t>
      </w:r>
      <w:r>
        <w:rPr>
          <w:rFonts w:eastAsia="MS Mincho" w:hint="eastAsia"/>
          <w:lang w:val="en-US" w:eastAsia="ja-JP"/>
        </w:rPr>
        <w:t xml:space="preserve"> signal is based on CP-OFDM</w:t>
      </w:r>
    </w:p>
    <w:p w14:paraId="3B21CF25" w14:textId="77777777" w:rsidR="000D24D9" w:rsidRPr="008064E8" w:rsidRDefault="000D24D9" w:rsidP="000D24D9">
      <w:pPr>
        <w:numPr>
          <w:ilvl w:val="1"/>
          <w:numId w:val="27"/>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DFT-spread-OFDM based design is not precluded</w:t>
      </w:r>
    </w:p>
    <w:p w14:paraId="1347487D" w14:textId="77777777" w:rsidR="00DD48A9" w:rsidRDefault="00DD48A9" w:rsidP="00E30225">
      <w:pPr>
        <w:pStyle w:val="BodyText"/>
      </w:pPr>
    </w:p>
    <w:p w14:paraId="7ABD09B7" w14:textId="317318F5" w:rsidR="00557D7C" w:rsidRPr="000E1A1F" w:rsidRDefault="00B72301" w:rsidP="00E30225">
      <w:pPr>
        <w:pStyle w:val="BodyText"/>
        <w:rPr>
          <w:color w:val="FF0000"/>
        </w:rPr>
      </w:pPr>
      <w:r>
        <w:t xml:space="preserve">In this contribution we give an </w:t>
      </w:r>
      <w:r w:rsidR="000D24D9">
        <w:t xml:space="preserve">overview </w:t>
      </w:r>
      <w:r>
        <w:t xml:space="preserve">of the design criteria for </w:t>
      </w:r>
      <w:r w:rsidR="000D24D9">
        <w:t xml:space="preserve">the </w:t>
      </w:r>
      <w:r w:rsidR="00DD48A9">
        <w:t xml:space="preserve">initial access </w:t>
      </w:r>
      <w:r w:rsidR="000D24D9">
        <w:t>synchronization signal design</w:t>
      </w:r>
      <w:r w:rsidR="005E1162">
        <w:t>.</w:t>
      </w:r>
    </w:p>
    <w:p w14:paraId="412AA818" w14:textId="6099BF5F" w:rsidR="00E30225" w:rsidRDefault="00E30225" w:rsidP="00E30225">
      <w:pPr>
        <w:pStyle w:val="Heading1"/>
      </w:pPr>
      <w:bookmarkStart w:id="0" w:name="_Ref178064866"/>
      <w:r w:rsidRPr="00CE0424">
        <w:t>Discussion</w:t>
      </w:r>
      <w:bookmarkEnd w:id="0"/>
    </w:p>
    <w:p w14:paraId="283F268A" w14:textId="204DF48A" w:rsidR="00DD48A9" w:rsidRDefault="00DD48A9" w:rsidP="00DD48A9">
      <w:r>
        <w:t>This contribution addresses the following issues:</w:t>
      </w:r>
    </w:p>
    <w:p w14:paraId="24B1012E" w14:textId="77777777" w:rsidR="00B2273B" w:rsidRDefault="00B2273B" w:rsidP="00B2273B">
      <w:pPr>
        <w:pStyle w:val="ListParagraph"/>
        <w:numPr>
          <w:ilvl w:val="0"/>
          <w:numId w:val="29"/>
        </w:numPr>
      </w:pPr>
      <w:r>
        <w:t>Numerology for the synchronization signal</w:t>
      </w:r>
    </w:p>
    <w:p w14:paraId="6100F1F3" w14:textId="1A8A1870" w:rsidR="00DD48A9" w:rsidRDefault="00DD48A9" w:rsidP="00DD48A9">
      <w:pPr>
        <w:pStyle w:val="ListParagraph"/>
        <w:numPr>
          <w:ilvl w:val="0"/>
          <w:numId w:val="29"/>
        </w:numPr>
      </w:pPr>
      <w:r>
        <w:t>Bandwidth of the synchronization signal</w:t>
      </w:r>
    </w:p>
    <w:p w14:paraId="6704AD82" w14:textId="1D6BDEBF" w:rsidR="00DD48A9" w:rsidRDefault="00DD48A9" w:rsidP="00DD48A9">
      <w:pPr>
        <w:pStyle w:val="ListParagraph"/>
        <w:numPr>
          <w:ilvl w:val="0"/>
          <w:numId w:val="29"/>
        </w:numPr>
      </w:pPr>
      <w:r>
        <w:t>Frequency position of the synchronization signal within the NR carrier</w:t>
      </w:r>
    </w:p>
    <w:p w14:paraId="5A000A7A" w14:textId="77777777" w:rsidR="00B2273B" w:rsidRDefault="00B2273B" w:rsidP="00B2273B">
      <w:pPr>
        <w:pStyle w:val="ListParagraph"/>
        <w:numPr>
          <w:ilvl w:val="0"/>
          <w:numId w:val="29"/>
        </w:numPr>
      </w:pPr>
      <w:r>
        <w:t>Number of sequences to be supported</w:t>
      </w:r>
    </w:p>
    <w:p w14:paraId="658CD38E" w14:textId="3F932BC5" w:rsidR="00DD48A9" w:rsidRDefault="00DD48A9" w:rsidP="00DD48A9">
      <w:r>
        <w:t>The periodicity of the synchro</w:t>
      </w:r>
      <w:r w:rsidR="00127B14">
        <w:t>nization signal is discussed</w:t>
      </w:r>
      <w:r>
        <w:t xml:space="preserve"> in </w:t>
      </w:r>
      <w:r w:rsidR="00B2273B">
        <w:fldChar w:fldCharType="begin"/>
      </w:r>
      <w:r w:rsidR="00B2273B">
        <w:instrText xml:space="preserve"> REF _Ref463038976 \r \h </w:instrText>
      </w:r>
      <w:r w:rsidR="00B2273B">
        <w:fldChar w:fldCharType="separate"/>
      </w:r>
      <w:r w:rsidR="00B2273B">
        <w:t>[1]</w:t>
      </w:r>
      <w:r w:rsidR="00B2273B">
        <w:fldChar w:fldCharType="end"/>
      </w:r>
      <w:r w:rsidR="00B2273B">
        <w:t xml:space="preserve"> and </w:t>
      </w:r>
      <w:r w:rsidR="00B2273B">
        <w:fldChar w:fldCharType="begin"/>
      </w:r>
      <w:r w:rsidR="00B2273B">
        <w:instrText xml:space="preserve"> REF _Ref463038979 \r \h </w:instrText>
      </w:r>
      <w:r w:rsidR="00B2273B">
        <w:fldChar w:fldCharType="separate"/>
      </w:r>
      <w:r w:rsidR="00B2273B">
        <w:t>[2]</w:t>
      </w:r>
      <w:r w:rsidR="00B2273B">
        <w:fldChar w:fldCharType="end"/>
      </w:r>
      <w:r w:rsidR="00B2273B">
        <w:t>. Additionally, we discuss a weakness in the LTE synchronization design that should be avoided in LTE.</w:t>
      </w:r>
    </w:p>
    <w:p w14:paraId="50C8A898" w14:textId="36398797" w:rsidR="00B2273B" w:rsidRDefault="00B2273B" w:rsidP="00B2273B">
      <w:pPr>
        <w:pStyle w:val="Heading2"/>
      </w:pPr>
      <w:r>
        <w:t>Numerology for the synchronization signal</w:t>
      </w:r>
    </w:p>
    <w:p w14:paraId="5813883E" w14:textId="17F2B42D" w:rsidR="00B2273B" w:rsidRDefault="00B2273B" w:rsidP="00B2273B">
      <w:r>
        <w:t>NR will support different numerologies to cater for a large frequency range and divers</w:t>
      </w:r>
      <w:r w:rsidR="00B92C5A">
        <w:t>e</w:t>
      </w:r>
      <w:r>
        <w:t xml:space="preserve"> </w:t>
      </w:r>
      <w:r w:rsidR="00B92C5A">
        <w:t>deployment scenarios</w:t>
      </w:r>
      <w:r>
        <w:t xml:space="preserve">. For initial access cell search, where the UE has </w:t>
      </w:r>
      <w:r w:rsidR="00B92C5A">
        <w:t xml:space="preserve">no </w:t>
      </w:r>
      <w:r>
        <w:t xml:space="preserve">knowledge of the </w:t>
      </w:r>
      <w:r w:rsidR="00B92C5A">
        <w:t xml:space="preserve">carrier, searching for </w:t>
      </w:r>
      <w:r w:rsidR="00F7144F">
        <w:t xml:space="preserve">synchronization signals with different carrier spacing </w:t>
      </w:r>
      <w:r w:rsidR="00B92C5A">
        <w:t xml:space="preserve">within a band will multiply the search time for the UE and should be avoided. Hence, a single default numerology should be picked within a frequency range, where a frequency range is defined as all frequency bands with overlapping DL frequency. In the specification, the default numerology could be associated with the frequency band definition. </w:t>
      </w:r>
    </w:p>
    <w:p w14:paraId="26FBAB15" w14:textId="35622377" w:rsidR="00B92C5A" w:rsidRDefault="00170600" w:rsidP="00B92C5A">
      <w:pPr>
        <w:pStyle w:val="Proposal"/>
        <w:rPr>
          <w:lang w:val="en-US"/>
        </w:rPr>
      </w:pPr>
      <w:r>
        <w:t xml:space="preserve">Within a frequency range, a single </w:t>
      </w:r>
      <w:r w:rsidR="00B92C5A">
        <w:t xml:space="preserve">default numerology is </w:t>
      </w:r>
      <w:r w:rsidR="00F7144F">
        <w:t xml:space="preserve">selected </w:t>
      </w:r>
      <w:r>
        <w:t xml:space="preserve">for the synchronization signal </w:t>
      </w:r>
    </w:p>
    <w:p w14:paraId="0E4B818D" w14:textId="78DB4D36" w:rsidR="00B92C5A" w:rsidRPr="00B92C5A" w:rsidRDefault="00F7144F" w:rsidP="00B2273B">
      <w:pPr>
        <w:rPr>
          <w:lang w:val="en-US"/>
        </w:rPr>
      </w:pPr>
      <w:r>
        <w:rPr>
          <w:lang w:val="en-US"/>
        </w:rPr>
        <w:lastRenderedPageBreak/>
        <w:t xml:space="preserve">Similar, with multiple cyclic prefix lengths </w:t>
      </w:r>
      <w:r w:rsidR="00170600">
        <w:rPr>
          <w:lang w:val="en-US"/>
        </w:rPr>
        <w:t>per sub</w:t>
      </w:r>
      <w:r>
        <w:rPr>
          <w:lang w:val="en-US"/>
        </w:rPr>
        <w:t xml:space="preserve">carrier spacing, to avoid detecting the cyclic prefix length blindly a default </w:t>
      </w:r>
      <w:r w:rsidR="00170600">
        <w:rPr>
          <w:lang w:val="en-US"/>
        </w:rPr>
        <w:t>c</w:t>
      </w:r>
      <w:r>
        <w:rPr>
          <w:lang w:val="en-US"/>
        </w:rPr>
        <w:t>yclic prefix should be used</w:t>
      </w:r>
      <w:r w:rsidR="00170600">
        <w:rPr>
          <w:lang w:val="en-US"/>
        </w:rPr>
        <w:t>.</w:t>
      </w:r>
    </w:p>
    <w:p w14:paraId="3CF8AD42" w14:textId="01DA9CF6" w:rsidR="00B2273B" w:rsidRDefault="00B2273B" w:rsidP="00B2273B">
      <w:pPr>
        <w:pStyle w:val="Heading2"/>
      </w:pPr>
      <w:r>
        <w:t>Bandwidth of the synchronization signal</w:t>
      </w:r>
    </w:p>
    <w:p w14:paraId="3AC43F64" w14:textId="2928AB1A" w:rsidR="00B2273B" w:rsidRDefault="00170600" w:rsidP="00B2273B">
      <w:r>
        <w:t xml:space="preserve">The wider the synchronization signal, the better performance can be achieved for timing estimation. However, the synchronization signal should not be wider in bandwidth than the minimum system bandwidth or the maximum bandwidth of bandwidth restricted UEs (UEs not capable of receiving the full system bandwidth). </w:t>
      </w:r>
      <w:r w:rsidR="0028345A">
        <w:t>With different numerologies, the bandwidth of the synchronization signal will change if the same number of subcarriers are used. Also, the required system bandwidths and m</w:t>
      </w:r>
      <w:r w:rsidR="0028345A" w:rsidRPr="00CC5A99">
        <w:t>aximum bandwidth of bandwidth restricted UEs</w:t>
      </w:r>
      <w:r w:rsidR="0028345A">
        <w:t xml:space="preserve"> will vary with the frequency range.  Hence, similar to the numerology, a default synchronization signal bandwidth is used within a frequency range.</w:t>
      </w:r>
    </w:p>
    <w:p w14:paraId="2170BAC5" w14:textId="7A1932EA" w:rsidR="00170600" w:rsidRPr="00DC61AE" w:rsidRDefault="00170600" w:rsidP="00170600">
      <w:pPr>
        <w:pStyle w:val="Observation"/>
        <w:rPr>
          <w:lang w:val="en-US"/>
        </w:rPr>
      </w:pPr>
      <w:r>
        <w:t>Before deciding the synchronization signal bandwidth, the following needs to be decided</w:t>
      </w:r>
      <w:r w:rsidR="0028345A">
        <w:t xml:space="preserve"> per frequency range</w:t>
      </w:r>
      <w:r w:rsidR="00DC61AE">
        <w:t>:</w:t>
      </w:r>
    </w:p>
    <w:p w14:paraId="0527EE60" w14:textId="03484619" w:rsidR="00DC61AE" w:rsidRDefault="00DC61AE" w:rsidP="00DC61AE">
      <w:pPr>
        <w:pStyle w:val="Observation"/>
        <w:numPr>
          <w:ilvl w:val="0"/>
          <w:numId w:val="30"/>
        </w:numPr>
        <w:rPr>
          <w:lang w:val="en-US"/>
        </w:rPr>
      </w:pPr>
      <w:r>
        <w:rPr>
          <w:lang w:val="en-US"/>
        </w:rPr>
        <w:t>Minimum system bandwidth</w:t>
      </w:r>
    </w:p>
    <w:p w14:paraId="06B5EDE6" w14:textId="17049993" w:rsidR="00DC61AE" w:rsidRPr="00DC61AE" w:rsidRDefault="00DC61AE" w:rsidP="00DC61AE">
      <w:pPr>
        <w:pStyle w:val="Observation"/>
        <w:numPr>
          <w:ilvl w:val="0"/>
          <w:numId w:val="30"/>
        </w:numPr>
        <w:rPr>
          <w:lang w:val="en-US"/>
        </w:rPr>
      </w:pPr>
      <w:r>
        <w:rPr>
          <w:lang w:val="en-US"/>
        </w:rPr>
        <w:t>Maximum bandwidth of bandwidth restricted UEs</w:t>
      </w:r>
    </w:p>
    <w:p w14:paraId="0885DA82" w14:textId="79CCED58" w:rsidR="00170600" w:rsidRPr="00B2273B" w:rsidRDefault="00DC61AE" w:rsidP="00B2273B">
      <w:r>
        <w:t>In LTE, introducing new system bandwidths has been difficult since legacy UEs rely on the knowledge of the system bandwidth, for example for the PDCCH. I</w:t>
      </w:r>
      <w:r w:rsidR="00170600">
        <w:t xml:space="preserve">n order to support extension of the system bandwidth in later releases while keeping the backwards compatibility, </w:t>
      </w:r>
      <w:r>
        <w:t xml:space="preserve">all </w:t>
      </w:r>
      <w:r w:rsidR="00170600">
        <w:t>NR UEs should be considered to be bandwidth restricted</w:t>
      </w:r>
      <w:r>
        <w:t xml:space="preserve"> and not need to know the system bandwidth used on the carrier</w:t>
      </w:r>
      <w:r w:rsidR="00170600">
        <w:t>.</w:t>
      </w:r>
      <w:r>
        <w:t xml:space="preserve"> </w:t>
      </w:r>
    </w:p>
    <w:p w14:paraId="2B1B85E2" w14:textId="4D759164" w:rsidR="00B2273B" w:rsidRDefault="00B2273B" w:rsidP="00B2273B">
      <w:pPr>
        <w:pStyle w:val="Heading2"/>
      </w:pPr>
      <w:r>
        <w:t>Frequency position of the synchronization signal</w:t>
      </w:r>
    </w:p>
    <w:p w14:paraId="32579AD8" w14:textId="1CF35AFB" w:rsidR="00F7144F" w:rsidRDefault="00F7144F" w:rsidP="00F7144F">
      <w:r>
        <w:t>In LTE, the synchronization signal is always in the middle of the LTE carrier. Since large flexibility is needed in the frequen</w:t>
      </w:r>
      <w:r w:rsidR="00DC61AE">
        <w:t xml:space="preserve">cy placement of the carrier, this led to a frequency </w:t>
      </w:r>
      <w:r w:rsidR="009E5A76">
        <w:t xml:space="preserve">raster for </w:t>
      </w:r>
      <w:r w:rsidR="00DC61AE">
        <w:t xml:space="preserve">initial cell search of 100 kHz. The frequency grid for placement of the carrier should be kept, but as proposed in </w:t>
      </w:r>
      <w:r w:rsidR="009E5A76">
        <w:fldChar w:fldCharType="begin"/>
      </w:r>
      <w:r w:rsidR="009E5A76">
        <w:instrText xml:space="preserve"> REF _Ref463042163 \r \h </w:instrText>
      </w:r>
      <w:r w:rsidR="009E5A76">
        <w:fldChar w:fldCharType="separate"/>
      </w:r>
      <w:r w:rsidR="009E5A76">
        <w:t>[4]</w:t>
      </w:r>
      <w:r w:rsidR="009E5A76">
        <w:fldChar w:fldCharType="end"/>
      </w:r>
      <w:r w:rsidR="009E5A76">
        <w:t>, the frequency raster for the initial cell search should be spares then the carrier/channel raster.</w:t>
      </w:r>
    </w:p>
    <w:p w14:paraId="1C72F0C0" w14:textId="17A75519" w:rsidR="00CC5A99" w:rsidRDefault="00CC5A99" w:rsidP="00CC5A99">
      <w:pPr>
        <w:pStyle w:val="Proposal"/>
        <w:rPr>
          <w:lang w:val="en-US"/>
        </w:rPr>
      </w:pPr>
      <w:r>
        <w:t xml:space="preserve">The frequency position of the synchronization signal within a carrier should be flexible to allow </w:t>
      </w:r>
      <w:r w:rsidR="0028345A">
        <w:t xml:space="preserve">a </w:t>
      </w:r>
      <w:r>
        <w:t>sparser frequency raster for the initial cell search than the carrier/channel raster</w:t>
      </w:r>
    </w:p>
    <w:p w14:paraId="3B0E633B" w14:textId="432D7A01" w:rsidR="009E5A76" w:rsidRPr="00F7144F" w:rsidRDefault="0028345A" w:rsidP="00F7144F">
      <w:r>
        <w:t xml:space="preserve">The </w:t>
      </w:r>
      <w:r w:rsidR="009E5A76">
        <w:t>flexible</w:t>
      </w:r>
      <w:r>
        <w:t xml:space="preserve"> placement of the synchronization signal needs to be taken into account when deciding </w:t>
      </w:r>
      <w:r w:rsidR="009E5A76">
        <w:t xml:space="preserve">the bandwidth of the synchronization signal </w:t>
      </w:r>
      <w:r>
        <w:t xml:space="preserve">to allow shifting within the system bandwidth. </w:t>
      </w:r>
      <w:r w:rsidR="009E5A76">
        <w:t xml:space="preserve">  </w:t>
      </w:r>
    </w:p>
    <w:p w14:paraId="5BE35E0D" w14:textId="06A46289" w:rsidR="00B2273B" w:rsidRPr="00DD48A9" w:rsidRDefault="00B2273B" w:rsidP="00B2273B">
      <w:pPr>
        <w:pStyle w:val="Heading2"/>
      </w:pPr>
      <w:r>
        <w:t>Number of sequences</w:t>
      </w:r>
    </w:p>
    <w:p w14:paraId="2AA40793" w14:textId="662A7DA0" w:rsidR="004E2B83" w:rsidRDefault="00FE1A36" w:rsidP="007219DD">
      <w:r>
        <w:t xml:space="preserve">In LTE, </w:t>
      </w:r>
      <w:r w:rsidR="00F7144F">
        <w:t xml:space="preserve">coarse synchronization </w:t>
      </w:r>
      <w:r w:rsidR="0028345A">
        <w:t xml:space="preserve">during </w:t>
      </w:r>
      <w:r w:rsidR="00F7144F">
        <w:t xml:space="preserve">cell search </w:t>
      </w:r>
      <w:r w:rsidR="0028345A">
        <w:t xml:space="preserve">was achieved using </w:t>
      </w:r>
      <w:r>
        <w:t xml:space="preserve">two </w:t>
      </w:r>
      <w:r w:rsidR="00F7144F">
        <w:t xml:space="preserve">separate </w:t>
      </w:r>
      <w:r w:rsidR="0028345A">
        <w:t xml:space="preserve">downlink </w:t>
      </w:r>
      <w:r>
        <w:t>signals, the Primary Synchronization Signal (PSS) and the Secondary</w:t>
      </w:r>
      <w:r w:rsidR="007219DD">
        <w:t xml:space="preserve"> </w:t>
      </w:r>
      <w:r>
        <w:t>Synchronization Signal (SSS)</w:t>
      </w:r>
      <w:r w:rsidR="0028345A">
        <w:t>.</w:t>
      </w:r>
      <w:r w:rsidR="007219DD">
        <w:t xml:space="preserve"> </w:t>
      </w:r>
      <w:r w:rsidR="0028345A">
        <w:t xml:space="preserve">The combination of the sequences used for </w:t>
      </w:r>
      <w:r w:rsidR="007219DD">
        <w:t>PSS</w:t>
      </w:r>
      <w:r w:rsidR="0028345A">
        <w:t xml:space="preserve"> and </w:t>
      </w:r>
      <w:r w:rsidR="007219DD">
        <w:t>SSS in a given cell indicate</w:t>
      </w:r>
      <w:r w:rsidR="0028345A">
        <w:t>s</w:t>
      </w:r>
      <w:r w:rsidR="007219DD">
        <w:t xml:space="preserve"> the physical layer cell identity to the UE, </w:t>
      </w:r>
      <w:r w:rsidR="0028345A">
        <w:t>with a total</w:t>
      </w:r>
      <w:r w:rsidR="007219DD">
        <w:t xml:space="preserve"> </w:t>
      </w:r>
      <w:r w:rsidR="0028345A">
        <w:t xml:space="preserve">of </w:t>
      </w:r>
      <w:r w:rsidR="007219DD">
        <w:t xml:space="preserve">504 unique Physical Cell Identities (PCIs). </w:t>
      </w:r>
    </w:p>
    <w:p w14:paraId="74A78978" w14:textId="737E688D" w:rsidR="00324D63" w:rsidRDefault="0028345A" w:rsidP="007219DD">
      <w:r>
        <w:rPr>
          <w:lang w:val="en-US"/>
        </w:rPr>
        <w:t xml:space="preserve">To allow similar deployments for NR as for LTE, at least the same number of identities should be supported. </w:t>
      </w:r>
    </w:p>
    <w:p w14:paraId="31822734" w14:textId="06F1AE92" w:rsidR="00FE1A36" w:rsidRDefault="007219DD" w:rsidP="00FE1A36">
      <w:pPr>
        <w:pStyle w:val="Proposal"/>
        <w:rPr>
          <w:lang w:val="en-US"/>
        </w:rPr>
      </w:pPr>
      <w:r>
        <w:t xml:space="preserve">The synchronization signal </w:t>
      </w:r>
      <w:r w:rsidR="0028345A">
        <w:t xml:space="preserve">should support </w:t>
      </w:r>
      <w:r w:rsidR="0012002E">
        <w:t xml:space="preserve">conveying </w:t>
      </w:r>
      <w:r w:rsidR="0028345A">
        <w:t>at least the same number of identities as LTE</w:t>
      </w:r>
    </w:p>
    <w:p w14:paraId="1A70D0F1" w14:textId="687150C5" w:rsidR="005E5719" w:rsidRDefault="0028345A" w:rsidP="005E5719">
      <w:r>
        <w:t>Additional information can be considered conveyed by the synch</w:t>
      </w:r>
      <w:r w:rsidR="005436DA">
        <w:t>ro</w:t>
      </w:r>
      <w:r>
        <w:t>nization signal, specifically any information needed to dec</w:t>
      </w:r>
      <w:r w:rsidR="005E5719">
        <w:t>ode</w:t>
      </w:r>
      <w:r>
        <w:t xml:space="preserve"> the PBCH carry</w:t>
      </w:r>
      <w:r w:rsidR="005E5719">
        <w:t>i</w:t>
      </w:r>
      <w:r>
        <w:t>ng the MIB.</w:t>
      </w:r>
    </w:p>
    <w:p w14:paraId="5E280A82" w14:textId="0328F5C9" w:rsidR="005E5719" w:rsidRPr="00DD48A9" w:rsidRDefault="005E5719" w:rsidP="005E5719">
      <w:pPr>
        <w:pStyle w:val="Heading2"/>
      </w:pPr>
      <w:r>
        <w:t>Sequence design</w:t>
      </w:r>
    </w:p>
    <w:p w14:paraId="67B3DE27" w14:textId="04E2E4CC" w:rsidR="009D27F4" w:rsidRPr="009D27F4" w:rsidRDefault="009D27F4" w:rsidP="00551B29">
      <w:pPr>
        <w:rPr>
          <w:lang w:val="en-US"/>
        </w:rPr>
      </w:pPr>
      <w:r>
        <w:rPr>
          <w:lang w:val="en-US"/>
        </w:rPr>
        <w:t>To avoid high detection complexity,</w:t>
      </w:r>
      <w:r w:rsidR="005E5719">
        <w:rPr>
          <w:lang w:val="en-US"/>
        </w:rPr>
        <w:t xml:space="preserve"> a similar two</w:t>
      </w:r>
      <w:r>
        <w:rPr>
          <w:lang w:val="en-US"/>
        </w:rPr>
        <w:t xml:space="preserve">-step construction </w:t>
      </w:r>
      <w:r w:rsidR="005E5719">
        <w:rPr>
          <w:lang w:val="en-US"/>
        </w:rPr>
        <w:t xml:space="preserve">as </w:t>
      </w:r>
      <w:r>
        <w:rPr>
          <w:lang w:val="en-US"/>
        </w:rPr>
        <w:t xml:space="preserve">the </w:t>
      </w:r>
      <w:r w:rsidR="008E361B">
        <w:rPr>
          <w:lang w:val="en-US"/>
        </w:rPr>
        <w:t xml:space="preserve">LTE </w:t>
      </w:r>
      <w:r>
        <w:rPr>
          <w:lang w:val="en-US"/>
        </w:rPr>
        <w:t>sy</w:t>
      </w:r>
      <w:r w:rsidR="00551B29">
        <w:rPr>
          <w:lang w:val="en-US"/>
        </w:rPr>
        <w:t>nchroniz</w:t>
      </w:r>
      <w:r>
        <w:rPr>
          <w:lang w:val="en-US"/>
        </w:rPr>
        <w:t xml:space="preserve">ation </w:t>
      </w:r>
      <w:r w:rsidR="00551B29">
        <w:rPr>
          <w:lang w:val="en-US"/>
        </w:rPr>
        <w:t>signal</w:t>
      </w:r>
      <w:r w:rsidR="008E361B">
        <w:rPr>
          <w:lang w:val="en-US"/>
        </w:rPr>
        <w:t xml:space="preserve"> should be kept</w:t>
      </w:r>
      <w:r w:rsidR="005E5719">
        <w:rPr>
          <w:lang w:val="en-US"/>
        </w:rPr>
        <w:t xml:space="preserve"> with a few sequences for the </w:t>
      </w:r>
      <w:r w:rsidR="00551B29" w:rsidRPr="00551B29">
        <w:rPr>
          <w:lang w:val="en-US"/>
        </w:rPr>
        <w:t xml:space="preserve">PSS </w:t>
      </w:r>
      <w:r w:rsidR="005E5719">
        <w:rPr>
          <w:lang w:val="en-US"/>
        </w:rPr>
        <w:t xml:space="preserve">with </w:t>
      </w:r>
      <w:r w:rsidR="00551B29">
        <w:rPr>
          <w:lang w:val="en-US"/>
        </w:rPr>
        <w:t xml:space="preserve">good </w:t>
      </w:r>
      <w:r w:rsidR="008E361B">
        <w:rPr>
          <w:lang w:val="en-US"/>
        </w:rPr>
        <w:t xml:space="preserve">periodic </w:t>
      </w:r>
      <w:r w:rsidR="005E5719">
        <w:rPr>
          <w:lang w:val="en-US"/>
        </w:rPr>
        <w:t>correlation properties</w:t>
      </w:r>
      <w:r w:rsidR="00551B29">
        <w:rPr>
          <w:lang w:val="en-US"/>
        </w:rPr>
        <w:t xml:space="preserve"> for </w:t>
      </w:r>
      <w:r w:rsidR="005E5719">
        <w:rPr>
          <w:lang w:val="en-US"/>
        </w:rPr>
        <w:t xml:space="preserve">time domain </w:t>
      </w:r>
      <w:r w:rsidR="00551B29">
        <w:rPr>
          <w:lang w:val="en-US"/>
        </w:rPr>
        <w:t>detection</w:t>
      </w:r>
      <w:r w:rsidR="005E5719">
        <w:rPr>
          <w:lang w:val="en-US"/>
        </w:rPr>
        <w:t xml:space="preserve"> with limited complexity</w:t>
      </w:r>
      <w:r w:rsidR="00551B29">
        <w:rPr>
          <w:lang w:val="en-US"/>
        </w:rPr>
        <w:t xml:space="preserve">, and </w:t>
      </w:r>
      <w:r w:rsidR="005E5719">
        <w:rPr>
          <w:lang w:val="en-US"/>
        </w:rPr>
        <w:t xml:space="preserve">where </w:t>
      </w:r>
      <w:r w:rsidR="00551B29">
        <w:rPr>
          <w:lang w:val="en-US"/>
        </w:rPr>
        <w:t>t</w:t>
      </w:r>
      <w:r w:rsidR="00551B29" w:rsidRPr="00551B29">
        <w:rPr>
          <w:lang w:val="en-US"/>
        </w:rPr>
        <w:t xml:space="preserve">he SSS </w:t>
      </w:r>
      <w:r w:rsidR="005E5719">
        <w:rPr>
          <w:lang w:val="en-US"/>
        </w:rPr>
        <w:t xml:space="preserve">can be detected using the timing derived from the PSS.  </w:t>
      </w:r>
      <w:r w:rsidR="00551B29" w:rsidRPr="00551B29">
        <w:rPr>
          <w:lang w:val="en-US"/>
        </w:rPr>
        <w:t xml:space="preserve">sequences are based on </w:t>
      </w:r>
      <w:r w:rsidR="00551B29">
        <w:rPr>
          <w:lang w:val="en-US"/>
        </w:rPr>
        <w:t>m</w:t>
      </w:r>
      <w:r w:rsidR="00551B29" w:rsidRPr="00551B29">
        <w:rPr>
          <w:lang w:val="en-US"/>
        </w:rPr>
        <w:t>-sequences</w:t>
      </w:r>
      <w:r w:rsidR="00551B29">
        <w:rPr>
          <w:lang w:val="en-US"/>
        </w:rPr>
        <w:t xml:space="preserve"> and </w:t>
      </w:r>
      <w:r w:rsidR="008E361B">
        <w:rPr>
          <w:lang w:val="en-US"/>
        </w:rPr>
        <w:t xml:space="preserve">are </w:t>
      </w:r>
      <w:r w:rsidR="00551B29" w:rsidRPr="00551B29">
        <w:rPr>
          <w:lang w:val="en-US"/>
        </w:rPr>
        <w:t>created by cycling through every possible state of a shift register</w:t>
      </w:r>
      <w:r w:rsidR="00551B29">
        <w:rPr>
          <w:lang w:val="en-US"/>
        </w:rPr>
        <w:t xml:space="preserve">, which </w:t>
      </w:r>
      <w:r w:rsidR="00551B29" w:rsidRPr="00551B29">
        <w:rPr>
          <w:lang w:val="en-US"/>
        </w:rPr>
        <w:t>is constructed by interleav</w:t>
      </w:r>
      <w:r w:rsidR="00551B29">
        <w:rPr>
          <w:lang w:val="en-US"/>
        </w:rPr>
        <w:t xml:space="preserve">ed two codes </w:t>
      </w:r>
      <w:r w:rsidR="00551B29" w:rsidRPr="00551B29">
        <w:rPr>
          <w:lang w:val="en-US"/>
        </w:rPr>
        <w:t>in the frequency domain</w:t>
      </w:r>
      <w:r w:rsidR="00551B29">
        <w:rPr>
          <w:lang w:val="en-US"/>
        </w:rPr>
        <w:t xml:space="preserve">. </w:t>
      </w:r>
      <w:r w:rsidR="005E5719">
        <w:rPr>
          <w:lang w:val="en-US"/>
        </w:rPr>
        <w:t>Any discovered weaknesses of the LTE synchronization signals should be improved in the NR design.</w:t>
      </w:r>
    </w:p>
    <w:p w14:paraId="159F69F7" w14:textId="075375A7" w:rsidR="004D28BE" w:rsidRDefault="005E5719" w:rsidP="005E5719">
      <w:pPr>
        <w:pStyle w:val="Proposal"/>
        <w:rPr>
          <w:lang w:val="en-US"/>
        </w:rPr>
      </w:pPr>
      <w:r>
        <w:rPr>
          <w:lang w:val="en-US"/>
        </w:rPr>
        <w:lastRenderedPageBreak/>
        <w:t xml:space="preserve">The synchronization signal should be a </w:t>
      </w:r>
      <w:r w:rsidRPr="005E5719">
        <w:rPr>
          <w:lang w:val="en-US"/>
        </w:rPr>
        <w:t xml:space="preserve">two-step construction </w:t>
      </w:r>
      <w:r>
        <w:rPr>
          <w:lang w:val="en-US"/>
        </w:rPr>
        <w:t xml:space="preserve">similar to the LTE with a PSS and an SSS. </w:t>
      </w:r>
    </w:p>
    <w:p w14:paraId="3FDAEECB" w14:textId="77777777" w:rsidR="00C01F33" w:rsidRPr="00CE0424" w:rsidRDefault="00C01F33" w:rsidP="00CE0424">
      <w:pPr>
        <w:pStyle w:val="Heading1"/>
      </w:pP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CE0424">
        <w:t>Conclusion</w:t>
      </w:r>
    </w:p>
    <w:p w14:paraId="4D5E9467" w14:textId="0E6F68BC" w:rsidR="0012002E" w:rsidRDefault="001949B4" w:rsidP="0012002E">
      <w:pPr>
        <w:rPr>
          <w:bCs/>
          <w:noProof/>
          <w:szCs w:val="22"/>
          <w:lang w:val="en-US"/>
        </w:rPr>
      </w:pPr>
      <w:r w:rsidRPr="001949B4">
        <w:rPr>
          <w:lang w:val="en-US"/>
        </w:rPr>
        <w:t>I</w:t>
      </w:r>
      <w:r>
        <w:rPr>
          <w:lang w:val="en-US"/>
        </w:rPr>
        <w:t>n this contribution, we discuss</w:t>
      </w:r>
      <w:r w:rsidR="00EE3B4B">
        <w:rPr>
          <w:lang w:val="en-US"/>
        </w:rPr>
        <w:t>ed</w:t>
      </w:r>
      <w:r w:rsidRPr="001949B4">
        <w:rPr>
          <w:lang w:val="en-US"/>
        </w:rPr>
        <w:t xml:space="preserve"> the synchronization signal </w:t>
      </w:r>
      <w:r>
        <w:rPr>
          <w:lang w:val="en-US"/>
        </w:rPr>
        <w:t>design principles</w:t>
      </w:r>
      <w:r w:rsidR="00EE3B4B">
        <w:rPr>
          <w:lang w:val="en-US"/>
        </w:rPr>
        <w:t xml:space="preserve"> </w:t>
      </w:r>
      <w:r w:rsidR="0012002E">
        <w:rPr>
          <w:lang w:val="en-US"/>
        </w:rPr>
        <w:t xml:space="preserve">and make </w:t>
      </w:r>
      <w:r w:rsidR="004E02FA">
        <w:rPr>
          <w:lang w:val="en-US"/>
        </w:rPr>
        <w:t>the</w:t>
      </w:r>
      <w:r w:rsidR="008E065E" w:rsidRPr="00A5758B">
        <w:t xml:space="preserve"> following</w:t>
      </w:r>
      <w:r w:rsidR="004E02FA">
        <w:t xml:space="preserve"> </w:t>
      </w:r>
      <w:r w:rsidR="00EE3B4B">
        <w:t>observation:</w:t>
      </w:r>
      <w:r w:rsidR="0012002E">
        <w:t xml:space="preserve"> </w:t>
      </w:r>
    </w:p>
    <w:p w14:paraId="1FC76534" w14:textId="181CD3EC" w:rsidR="00EE3B4B" w:rsidRPr="00EE3B4B" w:rsidRDefault="00EE3B4B" w:rsidP="00EE3B4B">
      <w:pPr>
        <w:pStyle w:val="Observation"/>
        <w:numPr>
          <w:ilvl w:val="0"/>
          <w:numId w:val="31"/>
        </w:numPr>
        <w:rPr>
          <w:lang w:val="en-US"/>
        </w:rPr>
      </w:pPr>
      <w:r>
        <w:t>Before deciding the sync</w:t>
      </w:r>
      <w:r w:rsidR="005436DA">
        <w:t>hronization signal bandwidth</w:t>
      </w:r>
      <w:r>
        <w:t>, the following needs to be decided per frequency range:</w:t>
      </w:r>
    </w:p>
    <w:p w14:paraId="07B7A29B" w14:textId="7FAAC012" w:rsidR="00EE3B4B" w:rsidRPr="00EE3B4B" w:rsidRDefault="00EE3B4B" w:rsidP="00EE3B4B">
      <w:pPr>
        <w:pStyle w:val="ListParagraph"/>
        <w:numPr>
          <w:ilvl w:val="0"/>
          <w:numId w:val="34"/>
        </w:numPr>
        <w:rPr>
          <w:b/>
          <w:lang w:val="en-US"/>
        </w:rPr>
      </w:pPr>
      <w:r w:rsidRPr="00EE3B4B">
        <w:rPr>
          <w:b/>
          <w:lang w:val="en-US"/>
        </w:rPr>
        <w:t>Minimum system bandwidth</w:t>
      </w:r>
    </w:p>
    <w:p w14:paraId="2AE5CFCE" w14:textId="23B22623" w:rsidR="00EE3B4B" w:rsidRDefault="00EE3B4B" w:rsidP="00EE3B4B">
      <w:pPr>
        <w:pStyle w:val="ListParagraph"/>
        <w:numPr>
          <w:ilvl w:val="0"/>
          <w:numId w:val="34"/>
        </w:numPr>
        <w:rPr>
          <w:b/>
          <w:lang w:val="en-US"/>
        </w:rPr>
      </w:pPr>
      <w:r w:rsidRPr="00EE3B4B">
        <w:rPr>
          <w:b/>
          <w:lang w:val="en-US"/>
        </w:rPr>
        <w:t>Maximum bandwidth of bandwidth restricted UEs</w:t>
      </w:r>
    </w:p>
    <w:p w14:paraId="046DC1C5" w14:textId="5D3DA1B8" w:rsidR="00EE3B4B" w:rsidRPr="00EE3B4B" w:rsidRDefault="00EE3B4B" w:rsidP="00EE3B4B">
      <w:pPr>
        <w:rPr>
          <w:lang w:val="en-US"/>
        </w:rPr>
      </w:pPr>
      <w:r>
        <w:t>And proposals</w:t>
      </w:r>
      <w:r w:rsidRPr="00A5758B">
        <w:t>:</w:t>
      </w:r>
    </w:p>
    <w:p w14:paraId="29CC6162" w14:textId="77777777" w:rsidR="00EE3B4B" w:rsidRPr="00EE3B4B" w:rsidRDefault="00EE3B4B" w:rsidP="00EE3B4B">
      <w:pPr>
        <w:pStyle w:val="Proposal"/>
        <w:numPr>
          <w:ilvl w:val="0"/>
          <w:numId w:val="33"/>
        </w:numPr>
        <w:tabs>
          <w:tab w:val="clear" w:pos="1304"/>
          <w:tab w:val="num" w:pos="1800"/>
        </w:tabs>
        <w:ind w:left="1710" w:hanging="1710"/>
        <w:rPr>
          <w:lang w:val="en-US"/>
        </w:rPr>
      </w:pPr>
      <w:r>
        <w:t xml:space="preserve">Within a frequency range, a single default numerology is selected for the synchronization signal </w:t>
      </w:r>
    </w:p>
    <w:p w14:paraId="662EB3F9" w14:textId="77777777" w:rsidR="00EE3B4B" w:rsidRDefault="00EE3B4B" w:rsidP="00EE3B4B">
      <w:pPr>
        <w:pStyle w:val="Proposal"/>
        <w:rPr>
          <w:lang w:val="en-US"/>
        </w:rPr>
      </w:pPr>
      <w:r>
        <w:t>The frequency position of the synchronization signal within a carrier should be flexible to allow a sparser frequency raster for the initial cell search than the carrier/channel raster</w:t>
      </w:r>
    </w:p>
    <w:p w14:paraId="73ABFE95" w14:textId="77777777" w:rsidR="00EE3B4B" w:rsidRDefault="00EE3B4B" w:rsidP="00EE3B4B">
      <w:pPr>
        <w:pStyle w:val="Proposal"/>
        <w:rPr>
          <w:lang w:val="en-US"/>
        </w:rPr>
      </w:pPr>
      <w:r>
        <w:t>The synchronization signal should support conveying at least the same number of identities as LTE</w:t>
      </w:r>
    </w:p>
    <w:p w14:paraId="73F8E05E" w14:textId="77777777" w:rsidR="00EE3B4B" w:rsidRDefault="00EE3B4B" w:rsidP="00EE3B4B">
      <w:pPr>
        <w:pStyle w:val="Proposal"/>
        <w:rPr>
          <w:lang w:val="en-US"/>
        </w:rPr>
      </w:pPr>
      <w:r>
        <w:rPr>
          <w:lang w:val="en-US"/>
        </w:rPr>
        <w:t xml:space="preserve">The synchronization signal should be a </w:t>
      </w:r>
      <w:r w:rsidRPr="005E5719">
        <w:rPr>
          <w:lang w:val="en-US"/>
        </w:rPr>
        <w:t xml:space="preserve">two-step construction </w:t>
      </w:r>
      <w:r>
        <w:rPr>
          <w:lang w:val="en-US"/>
        </w:rPr>
        <w:t>similar to the LTE with a</w:t>
      </w:r>
      <w:bookmarkStart w:id="67" w:name="_GoBack"/>
      <w:bookmarkEnd w:id="67"/>
      <w:r>
        <w:rPr>
          <w:lang w:val="en-US"/>
        </w:rPr>
        <w:t xml:space="preserve"> PSS and an SSS. </w:t>
      </w:r>
    </w:p>
    <w:p w14:paraId="3CA25FCB" w14:textId="77777777" w:rsidR="00F507D1" w:rsidRPr="00CE0424" w:rsidRDefault="00F507D1" w:rsidP="00CE0424">
      <w:pPr>
        <w:pStyle w:val="Heading1"/>
      </w:pPr>
      <w:bookmarkStart w:id="68" w:name="_In-sequence_SDU_delivery"/>
      <w:bookmarkEnd w:id="68"/>
      <w:r w:rsidRPr="00CE0424">
        <w:t>References</w:t>
      </w:r>
    </w:p>
    <w:p w14:paraId="059DFE9A" w14:textId="31A60F92" w:rsidR="00127B14" w:rsidRPr="00127B14" w:rsidRDefault="00127B14" w:rsidP="00127B14">
      <w:pPr>
        <w:pStyle w:val="Reference"/>
      </w:pPr>
      <w:bookmarkStart w:id="69" w:name="_Ref455574797"/>
      <w:bookmarkStart w:id="70" w:name="_Ref463038976"/>
      <w:bookmarkStart w:id="71" w:name="_Ref458407638"/>
      <w:bookmarkEnd w:id="69"/>
      <w:r w:rsidRPr="00127B14">
        <w:rPr>
          <w:lang w:val="en-US"/>
        </w:rPr>
        <w:t>R1-1609668</w:t>
      </w:r>
      <w:r>
        <w:rPr>
          <w:lang w:val="en-US"/>
        </w:rPr>
        <w:t>, “</w:t>
      </w:r>
      <w:r w:rsidRPr="00127B14">
        <w:rPr>
          <w:lang w:val="en-US"/>
        </w:rPr>
        <w:t>NR Synchronization signals for idle and connected mode mobility</w:t>
      </w:r>
      <w:r>
        <w:rPr>
          <w:lang w:val="en-US"/>
        </w:rPr>
        <w:t xml:space="preserve">”, </w:t>
      </w:r>
      <w:r w:rsidRPr="00127B14">
        <w:rPr>
          <w:lang w:val="en-US"/>
        </w:rPr>
        <w:t>Ericsson</w:t>
      </w:r>
      <w:bookmarkEnd w:id="70"/>
    </w:p>
    <w:p w14:paraId="6C7E840E" w14:textId="6375C58D" w:rsidR="003A7EF3" w:rsidRDefault="00127B14" w:rsidP="00127B14">
      <w:pPr>
        <w:pStyle w:val="Reference"/>
      </w:pPr>
      <w:bookmarkStart w:id="72" w:name="_Ref463038979"/>
      <w:bookmarkEnd w:id="71"/>
      <w:r w:rsidRPr="00127B14">
        <w:t>R1-1610353</w:t>
      </w:r>
      <w:r>
        <w:t>, “</w:t>
      </w:r>
      <w:r w:rsidRPr="00127B14">
        <w:t>Long DTX in NR</w:t>
      </w:r>
      <w:r>
        <w:t>”, Ericsson</w:t>
      </w:r>
      <w:bookmarkEnd w:id="72"/>
    </w:p>
    <w:p w14:paraId="38288F66" w14:textId="67C7D069" w:rsidR="00170600" w:rsidRDefault="00170600" w:rsidP="00170600">
      <w:pPr>
        <w:pStyle w:val="Reference"/>
      </w:pPr>
      <w:r w:rsidRPr="00170600">
        <w:t>R1-1609642</w:t>
      </w:r>
      <w:r>
        <w:t>, “</w:t>
      </w:r>
      <w:r w:rsidRPr="00170600">
        <w:t>On extended CP</w:t>
      </w:r>
      <w:r>
        <w:t xml:space="preserve">”, </w:t>
      </w:r>
      <w:r w:rsidRPr="00170600">
        <w:t>Ericsson</w:t>
      </w:r>
    </w:p>
    <w:p w14:paraId="77932AB4" w14:textId="4EB90C1B" w:rsidR="00DC61AE" w:rsidRPr="00CE0424" w:rsidRDefault="00DC61AE" w:rsidP="00DC61AE">
      <w:pPr>
        <w:pStyle w:val="Reference"/>
      </w:pPr>
      <w:bookmarkStart w:id="73" w:name="_Ref463042163"/>
      <w:r>
        <w:rPr>
          <w:lang w:val="en-US"/>
        </w:rPr>
        <w:t>R1-168494, “</w:t>
      </w:r>
      <w:r w:rsidRPr="00DC61AE">
        <w:t>WF on sync and carrier rasters</w:t>
      </w:r>
      <w:r>
        <w:t xml:space="preserve">”, </w:t>
      </w:r>
      <w:r w:rsidRPr="00DC61AE">
        <w:t>Huawei, HiSilicon, Qualcomm, Nokia, Alcatel-Lucent Shanghai Bell, NTT Docomo, Ericsson, ETRI, InterDigital</w:t>
      </w:r>
      <w:bookmarkEnd w:id="73"/>
    </w:p>
    <w:sectPr w:rsidR="00DC61AE"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B2B7C" w14:textId="77777777" w:rsidR="002F2251" w:rsidRDefault="002F2251">
      <w:r>
        <w:separator/>
      </w:r>
    </w:p>
  </w:endnote>
  <w:endnote w:type="continuationSeparator" w:id="0">
    <w:p w14:paraId="5CC3EC7A" w14:textId="77777777" w:rsidR="002F2251" w:rsidRDefault="002F2251">
      <w:r>
        <w:continuationSeparator/>
      </w:r>
    </w:p>
  </w:endnote>
  <w:endnote w:type="continuationNotice" w:id="1">
    <w:p w14:paraId="24A3CF61" w14:textId="77777777" w:rsidR="002F2251" w:rsidRDefault="002F22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B33AEDB" w:rsidR="00BB579E" w:rsidRDefault="00BB57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36D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36D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01392" w14:textId="77777777" w:rsidR="002F2251" w:rsidRDefault="002F2251">
      <w:r>
        <w:separator/>
      </w:r>
    </w:p>
  </w:footnote>
  <w:footnote w:type="continuationSeparator" w:id="0">
    <w:p w14:paraId="3E6C4ACF" w14:textId="77777777" w:rsidR="002F2251" w:rsidRDefault="002F2251">
      <w:r>
        <w:continuationSeparator/>
      </w:r>
    </w:p>
  </w:footnote>
  <w:footnote w:type="continuationNotice" w:id="1">
    <w:p w14:paraId="26AF861A" w14:textId="77777777" w:rsidR="002F2251" w:rsidRDefault="002F22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BB579E" w:rsidRDefault="00BB57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DB5517"/>
    <w:multiLevelType w:val="hybridMultilevel"/>
    <w:tmpl w:val="192E472E"/>
    <w:lvl w:ilvl="0" w:tplc="2220A2FE">
      <w:start w:val="1"/>
      <w:numFmt w:val="bullet"/>
      <w:lvlText w:val="›"/>
      <w:lvlJc w:val="left"/>
      <w:pPr>
        <w:tabs>
          <w:tab w:val="num" w:pos="720"/>
        </w:tabs>
        <w:ind w:left="720" w:hanging="360"/>
      </w:pPr>
      <w:rPr>
        <w:rFonts w:ascii="Arial" w:hAnsi="Arial" w:hint="default"/>
      </w:rPr>
    </w:lvl>
    <w:lvl w:ilvl="1" w:tplc="99420E26">
      <w:numFmt w:val="bullet"/>
      <w:lvlText w:val="–"/>
      <w:lvlJc w:val="left"/>
      <w:pPr>
        <w:tabs>
          <w:tab w:val="num" w:pos="1440"/>
        </w:tabs>
        <w:ind w:left="1440" w:hanging="360"/>
      </w:pPr>
      <w:rPr>
        <w:rFonts w:ascii="Ericsson Capital TT" w:hAnsi="Ericsson Capital TT" w:hint="default"/>
      </w:rPr>
    </w:lvl>
    <w:lvl w:ilvl="2" w:tplc="09509292" w:tentative="1">
      <w:start w:val="1"/>
      <w:numFmt w:val="bullet"/>
      <w:lvlText w:val="›"/>
      <w:lvlJc w:val="left"/>
      <w:pPr>
        <w:tabs>
          <w:tab w:val="num" w:pos="2160"/>
        </w:tabs>
        <w:ind w:left="2160" w:hanging="360"/>
      </w:pPr>
      <w:rPr>
        <w:rFonts w:ascii="Arial" w:hAnsi="Arial" w:hint="default"/>
      </w:rPr>
    </w:lvl>
    <w:lvl w:ilvl="3" w:tplc="5FB63628" w:tentative="1">
      <w:start w:val="1"/>
      <w:numFmt w:val="bullet"/>
      <w:lvlText w:val="›"/>
      <w:lvlJc w:val="left"/>
      <w:pPr>
        <w:tabs>
          <w:tab w:val="num" w:pos="2880"/>
        </w:tabs>
        <w:ind w:left="2880" w:hanging="360"/>
      </w:pPr>
      <w:rPr>
        <w:rFonts w:ascii="Arial" w:hAnsi="Arial" w:hint="default"/>
      </w:rPr>
    </w:lvl>
    <w:lvl w:ilvl="4" w:tplc="EFD0C510" w:tentative="1">
      <w:start w:val="1"/>
      <w:numFmt w:val="bullet"/>
      <w:lvlText w:val="›"/>
      <w:lvlJc w:val="left"/>
      <w:pPr>
        <w:tabs>
          <w:tab w:val="num" w:pos="3600"/>
        </w:tabs>
        <w:ind w:left="3600" w:hanging="360"/>
      </w:pPr>
      <w:rPr>
        <w:rFonts w:ascii="Arial" w:hAnsi="Arial" w:hint="default"/>
      </w:rPr>
    </w:lvl>
    <w:lvl w:ilvl="5" w:tplc="7B503A9A" w:tentative="1">
      <w:start w:val="1"/>
      <w:numFmt w:val="bullet"/>
      <w:lvlText w:val="›"/>
      <w:lvlJc w:val="left"/>
      <w:pPr>
        <w:tabs>
          <w:tab w:val="num" w:pos="4320"/>
        </w:tabs>
        <w:ind w:left="4320" w:hanging="360"/>
      </w:pPr>
      <w:rPr>
        <w:rFonts w:ascii="Arial" w:hAnsi="Arial" w:hint="default"/>
      </w:rPr>
    </w:lvl>
    <w:lvl w:ilvl="6" w:tplc="7006F448" w:tentative="1">
      <w:start w:val="1"/>
      <w:numFmt w:val="bullet"/>
      <w:lvlText w:val="›"/>
      <w:lvlJc w:val="left"/>
      <w:pPr>
        <w:tabs>
          <w:tab w:val="num" w:pos="5040"/>
        </w:tabs>
        <w:ind w:left="5040" w:hanging="360"/>
      </w:pPr>
      <w:rPr>
        <w:rFonts w:ascii="Arial" w:hAnsi="Arial" w:hint="default"/>
      </w:rPr>
    </w:lvl>
    <w:lvl w:ilvl="7" w:tplc="F81A80B2" w:tentative="1">
      <w:start w:val="1"/>
      <w:numFmt w:val="bullet"/>
      <w:lvlText w:val="›"/>
      <w:lvlJc w:val="left"/>
      <w:pPr>
        <w:tabs>
          <w:tab w:val="num" w:pos="5760"/>
        </w:tabs>
        <w:ind w:left="5760" w:hanging="360"/>
      </w:pPr>
      <w:rPr>
        <w:rFonts w:ascii="Arial" w:hAnsi="Arial" w:hint="default"/>
      </w:rPr>
    </w:lvl>
    <w:lvl w:ilvl="8" w:tplc="AF2A49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01856"/>
    <w:multiLevelType w:val="hybridMultilevel"/>
    <w:tmpl w:val="85F81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04FC6"/>
    <w:multiLevelType w:val="hybridMultilevel"/>
    <w:tmpl w:val="47F01938"/>
    <w:lvl w:ilvl="0" w:tplc="D7986FBA">
      <w:start w:val="1"/>
      <w:numFmt w:val="bullet"/>
      <w:lvlText w:val="›"/>
      <w:lvlJc w:val="left"/>
      <w:pPr>
        <w:tabs>
          <w:tab w:val="num" w:pos="720"/>
        </w:tabs>
        <w:ind w:left="720" w:hanging="360"/>
      </w:pPr>
      <w:rPr>
        <w:rFonts w:ascii="Arial" w:hAnsi="Arial" w:hint="default"/>
      </w:rPr>
    </w:lvl>
    <w:lvl w:ilvl="1" w:tplc="AC4EA7F2">
      <w:numFmt w:val="bullet"/>
      <w:lvlText w:val="–"/>
      <w:lvlJc w:val="left"/>
      <w:pPr>
        <w:tabs>
          <w:tab w:val="num" w:pos="1440"/>
        </w:tabs>
        <w:ind w:left="1440" w:hanging="360"/>
      </w:pPr>
      <w:rPr>
        <w:rFonts w:ascii="Ericsson Capital TT" w:hAnsi="Ericsson Capital TT" w:hint="default"/>
      </w:rPr>
    </w:lvl>
    <w:lvl w:ilvl="2" w:tplc="66D0D57C" w:tentative="1">
      <w:start w:val="1"/>
      <w:numFmt w:val="bullet"/>
      <w:lvlText w:val="›"/>
      <w:lvlJc w:val="left"/>
      <w:pPr>
        <w:tabs>
          <w:tab w:val="num" w:pos="2160"/>
        </w:tabs>
        <w:ind w:left="2160" w:hanging="360"/>
      </w:pPr>
      <w:rPr>
        <w:rFonts w:ascii="Arial" w:hAnsi="Arial" w:hint="default"/>
      </w:rPr>
    </w:lvl>
    <w:lvl w:ilvl="3" w:tplc="9E6E797E" w:tentative="1">
      <w:start w:val="1"/>
      <w:numFmt w:val="bullet"/>
      <w:lvlText w:val="›"/>
      <w:lvlJc w:val="left"/>
      <w:pPr>
        <w:tabs>
          <w:tab w:val="num" w:pos="2880"/>
        </w:tabs>
        <w:ind w:left="2880" w:hanging="360"/>
      </w:pPr>
      <w:rPr>
        <w:rFonts w:ascii="Arial" w:hAnsi="Arial" w:hint="default"/>
      </w:rPr>
    </w:lvl>
    <w:lvl w:ilvl="4" w:tplc="4B22E97C" w:tentative="1">
      <w:start w:val="1"/>
      <w:numFmt w:val="bullet"/>
      <w:lvlText w:val="›"/>
      <w:lvlJc w:val="left"/>
      <w:pPr>
        <w:tabs>
          <w:tab w:val="num" w:pos="3600"/>
        </w:tabs>
        <w:ind w:left="3600" w:hanging="360"/>
      </w:pPr>
      <w:rPr>
        <w:rFonts w:ascii="Arial" w:hAnsi="Arial" w:hint="default"/>
      </w:rPr>
    </w:lvl>
    <w:lvl w:ilvl="5" w:tplc="C37279E8" w:tentative="1">
      <w:start w:val="1"/>
      <w:numFmt w:val="bullet"/>
      <w:lvlText w:val="›"/>
      <w:lvlJc w:val="left"/>
      <w:pPr>
        <w:tabs>
          <w:tab w:val="num" w:pos="4320"/>
        </w:tabs>
        <w:ind w:left="4320" w:hanging="360"/>
      </w:pPr>
      <w:rPr>
        <w:rFonts w:ascii="Arial" w:hAnsi="Arial" w:hint="default"/>
      </w:rPr>
    </w:lvl>
    <w:lvl w:ilvl="6" w:tplc="2F74CCD6" w:tentative="1">
      <w:start w:val="1"/>
      <w:numFmt w:val="bullet"/>
      <w:lvlText w:val="›"/>
      <w:lvlJc w:val="left"/>
      <w:pPr>
        <w:tabs>
          <w:tab w:val="num" w:pos="5040"/>
        </w:tabs>
        <w:ind w:left="5040" w:hanging="360"/>
      </w:pPr>
      <w:rPr>
        <w:rFonts w:ascii="Arial" w:hAnsi="Arial" w:hint="default"/>
      </w:rPr>
    </w:lvl>
    <w:lvl w:ilvl="7" w:tplc="A4A02DC2" w:tentative="1">
      <w:start w:val="1"/>
      <w:numFmt w:val="bullet"/>
      <w:lvlText w:val="›"/>
      <w:lvlJc w:val="left"/>
      <w:pPr>
        <w:tabs>
          <w:tab w:val="num" w:pos="5760"/>
        </w:tabs>
        <w:ind w:left="5760" w:hanging="360"/>
      </w:pPr>
      <w:rPr>
        <w:rFonts w:ascii="Arial" w:hAnsi="Arial" w:hint="default"/>
      </w:rPr>
    </w:lvl>
    <w:lvl w:ilvl="8" w:tplc="E7703A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C1EDC"/>
    <w:multiLevelType w:val="hybridMultilevel"/>
    <w:tmpl w:val="37D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4C1A60"/>
    <w:multiLevelType w:val="hybridMultilevel"/>
    <w:tmpl w:val="FE5CC11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830C5A"/>
    <w:multiLevelType w:val="hybridMultilevel"/>
    <w:tmpl w:val="347E4E8C"/>
    <w:lvl w:ilvl="0" w:tplc="04090001">
      <w:start w:val="1"/>
      <w:numFmt w:val="bullet"/>
      <w:lvlText w:val=""/>
      <w:lvlJc w:val="left"/>
      <w:pPr>
        <w:ind w:left="2985" w:hanging="360"/>
      </w:pPr>
      <w:rPr>
        <w:rFonts w:ascii="Symbol" w:hAnsi="Symbol" w:hint="default"/>
      </w:rPr>
    </w:lvl>
    <w:lvl w:ilvl="1" w:tplc="04090003" w:tentative="1">
      <w:start w:val="1"/>
      <w:numFmt w:val="bullet"/>
      <w:lvlText w:val="o"/>
      <w:lvlJc w:val="left"/>
      <w:pPr>
        <w:ind w:left="3705" w:hanging="360"/>
      </w:pPr>
      <w:rPr>
        <w:rFonts w:ascii="Courier New" w:hAnsi="Courier New" w:cs="Courier New" w:hint="default"/>
      </w:rPr>
    </w:lvl>
    <w:lvl w:ilvl="2" w:tplc="04090005" w:tentative="1">
      <w:start w:val="1"/>
      <w:numFmt w:val="bullet"/>
      <w:lvlText w:val=""/>
      <w:lvlJc w:val="left"/>
      <w:pPr>
        <w:ind w:left="4425" w:hanging="360"/>
      </w:pPr>
      <w:rPr>
        <w:rFonts w:ascii="Wingdings" w:hAnsi="Wingdings" w:hint="default"/>
      </w:rPr>
    </w:lvl>
    <w:lvl w:ilvl="3" w:tplc="04090001" w:tentative="1">
      <w:start w:val="1"/>
      <w:numFmt w:val="bullet"/>
      <w:lvlText w:val=""/>
      <w:lvlJc w:val="left"/>
      <w:pPr>
        <w:ind w:left="5145" w:hanging="360"/>
      </w:pPr>
      <w:rPr>
        <w:rFonts w:ascii="Symbol" w:hAnsi="Symbol" w:hint="default"/>
      </w:rPr>
    </w:lvl>
    <w:lvl w:ilvl="4" w:tplc="04090003" w:tentative="1">
      <w:start w:val="1"/>
      <w:numFmt w:val="bullet"/>
      <w:lvlText w:val="o"/>
      <w:lvlJc w:val="left"/>
      <w:pPr>
        <w:ind w:left="5865" w:hanging="360"/>
      </w:pPr>
      <w:rPr>
        <w:rFonts w:ascii="Courier New" w:hAnsi="Courier New" w:cs="Courier New" w:hint="default"/>
      </w:rPr>
    </w:lvl>
    <w:lvl w:ilvl="5" w:tplc="04090005" w:tentative="1">
      <w:start w:val="1"/>
      <w:numFmt w:val="bullet"/>
      <w:lvlText w:val=""/>
      <w:lvlJc w:val="left"/>
      <w:pPr>
        <w:ind w:left="6585" w:hanging="360"/>
      </w:pPr>
      <w:rPr>
        <w:rFonts w:ascii="Wingdings" w:hAnsi="Wingdings" w:hint="default"/>
      </w:rPr>
    </w:lvl>
    <w:lvl w:ilvl="6" w:tplc="04090001" w:tentative="1">
      <w:start w:val="1"/>
      <w:numFmt w:val="bullet"/>
      <w:lvlText w:val=""/>
      <w:lvlJc w:val="left"/>
      <w:pPr>
        <w:ind w:left="7305" w:hanging="360"/>
      </w:pPr>
      <w:rPr>
        <w:rFonts w:ascii="Symbol" w:hAnsi="Symbol" w:hint="default"/>
      </w:rPr>
    </w:lvl>
    <w:lvl w:ilvl="7" w:tplc="04090003" w:tentative="1">
      <w:start w:val="1"/>
      <w:numFmt w:val="bullet"/>
      <w:lvlText w:val="o"/>
      <w:lvlJc w:val="left"/>
      <w:pPr>
        <w:ind w:left="8025" w:hanging="360"/>
      </w:pPr>
      <w:rPr>
        <w:rFonts w:ascii="Courier New" w:hAnsi="Courier New" w:cs="Courier New" w:hint="default"/>
      </w:rPr>
    </w:lvl>
    <w:lvl w:ilvl="8" w:tplc="04090005" w:tentative="1">
      <w:start w:val="1"/>
      <w:numFmt w:val="bullet"/>
      <w:lvlText w:val=""/>
      <w:lvlJc w:val="left"/>
      <w:pPr>
        <w:ind w:left="8745" w:hanging="360"/>
      </w:pPr>
      <w:rPr>
        <w:rFonts w:ascii="Wingdings" w:hAnsi="Wingdings" w:hint="default"/>
      </w:rPr>
    </w:lvl>
  </w:abstractNum>
  <w:abstractNum w:abstractNumId="30"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18"/>
  </w:num>
  <w:num w:numId="4">
    <w:abstractNumId w:val="19"/>
  </w:num>
  <w:num w:numId="5">
    <w:abstractNumId w:val="15"/>
  </w:num>
  <w:num w:numId="6">
    <w:abstractNumId w:val="23"/>
  </w:num>
  <w:num w:numId="7">
    <w:abstractNumId w:val="28"/>
  </w:num>
  <w:num w:numId="8">
    <w:abstractNumId w:val="16"/>
  </w:num>
  <w:num w:numId="9">
    <w:abstractNumId w:val="13"/>
  </w:num>
  <w:num w:numId="10">
    <w:abstractNumId w:val="3"/>
  </w:num>
  <w:num w:numId="11">
    <w:abstractNumId w:val="2"/>
  </w:num>
  <w:num w:numId="12">
    <w:abstractNumId w:val="1"/>
  </w:num>
  <w:num w:numId="13">
    <w:abstractNumId w:val="27"/>
  </w:num>
  <w:num w:numId="14">
    <w:abstractNumId w:val="0"/>
  </w:num>
  <w:num w:numId="15">
    <w:abstractNumId w:val="14"/>
  </w:num>
  <w:num w:numId="16">
    <w:abstractNumId w:val="30"/>
  </w:num>
  <w:num w:numId="17">
    <w:abstractNumId w:val="20"/>
  </w:num>
  <w:num w:numId="18">
    <w:abstractNumId w:val="25"/>
  </w:num>
  <w:num w:numId="19">
    <w:abstractNumId w:val="8"/>
  </w:num>
  <w:num w:numId="20">
    <w:abstractNumId w:val="17"/>
  </w:num>
  <w:num w:numId="21">
    <w:abstractNumId w:val="11"/>
  </w:num>
  <w:num w:numId="22">
    <w:abstractNumId w:val="7"/>
  </w:num>
  <w:num w:numId="23">
    <w:abstractNumId w:val="24"/>
  </w:num>
  <w:num w:numId="24">
    <w:abstractNumId w:val="22"/>
  </w:num>
  <w:num w:numId="25">
    <w:abstractNumId w:val="10"/>
  </w:num>
  <w:num w:numId="26">
    <w:abstractNumId w:val="4"/>
  </w:num>
  <w:num w:numId="27">
    <w:abstractNumId w:val="6"/>
  </w:num>
  <w:num w:numId="28">
    <w:abstractNumId w:val="12"/>
  </w:num>
  <w:num w:numId="29">
    <w:abstractNumId w:val="9"/>
  </w:num>
  <w:num w:numId="30">
    <w:abstractNumId w:val="29"/>
  </w:num>
  <w:num w:numId="31">
    <w:abstractNumId w:val="27"/>
    <w:lvlOverride w:ilvl="0">
      <w:startOverride w:val="1"/>
    </w:lvlOverride>
  </w:num>
  <w:num w:numId="32">
    <w:abstractNumId w:val="27"/>
    <w:lvlOverride w:ilvl="0">
      <w:startOverride w:val="1"/>
    </w:lvlOverride>
  </w:num>
  <w:num w:numId="33">
    <w:abstractNumId w:val="18"/>
    <w:lvlOverride w:ilvl="0">
      <w:startOverride w:val="1"/>
    </w:lvlOverride>
  </w:num>
  <w:num w:numId="3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1261"/>
    <w:rsid w:val="00002A37"/>
    <w:rsid w:val="00005054"/>
    <w:rsid w:val="0000620F"/>
    <w:rsid w:val="00006446"/>
    <w:rsid w:val="00006896"/>
    <w:rsid w:val="00007CDC"/>
    <w:rsid w:val="00007EDB"/>
    <w:rsid w:val="00011B28"/>
    <w:rsid w:val="00015154"/>
    <w:rsid w:val="00015D15"/>
    <w:rsid w:val="00015F6F"/>
    <w:rsid w:val="00021284"/>
    <w:rsid w:val="0002564D"/>
    <w:rsid w:val="00025ECA"/>
    <w:rsid w:val="000266D4"/>
    <w:rsid w:val="0003178D"/>
    <w:rsid w:val="00031882"/>
    <w:rsid w:val="000325B8"/>
    <w:rsid w:val="00032982"/>
    <w:rsid w:val="000340C8"/>
    <w:rsid w:val="00034C15"/>
    <w:rsid w:val="00036BA1"/>
    <w:rsid w:val="000422E2"/>
    <w:rsid w:val="00042F22"/>
    <w:rsid w:val="000444EF"/>
    <w:rsid w:val="000476CE"/>
    <w:rsid w:val="00052A07"/>
    <w:rsid w:val="000534E3"/>
    <w:rsid w:val="0005606A"/>
    <w:rsid w:val="000562F5"/>
    <w:rsid w:val="0005666E"/>
    <w:rsid w:val="00057117"/>
    <w:rsid w:val="000616E7"/>
    <w:rsid w:val="0006478A"/>
    <w:rsid w:val="0006487E"/>
    <w:rsid w:val="00065E1A"/>
    <w:rsid w:val="0007265B"/>
    <w:rsid w:val="00076C39"/>
    <w:rsid w:val="00077E5F"/>
    <w:rsid w:val="0008036A"/>
    <w:rsid w:val="00081AE6"/>
    <w:rsid w:val="000855EB"/>
    <w:rsid w:val="00085684"/>
    <w:rsid w:val="00085B52"/>
    <w:rsid w:val="000866F2"/>
    <w:rsid w:val="0008736E"/>
    <w:rsid w:val="0009009F"/>
    <w:rsid w:val="0009012F"/>
    <w:rsid w:val="00091557"/>
    <w:rsid w:val="000924C1"/>
    <w:rsid w:val="000924F0"/>
    <w:rsid w:val="00092B4B"/>
    <w:rsid w:val="00093474"/>
    <w:rsid w:val="0009510F"/>
    <w:rsid w:val="000A1B7B"/>
    <w:rsid w:val="000A56F2"/>
    <w:rsid w:val="000A57A1"/>
    <w:rsid w:val="000B2719"/>
    <w:rsid w:val="000B3A8F"/>
    <w:rsid w:val="000B4AB9"/>
    <w:rsid w:val="000B58C3"/>
    <w:rsid w:val="000B61E9"/>
    <w:rsid w:val="000B66A8"/>
    <w:rsid w:val="000B7B33"/>
    <w:rsid w:val="000C165A"/>
    <w:rsid w:val="000C2E19"/>
    <w:rsid w:val="000D0D07"/>
    <w:rsid w:val="000D24D9"/>
    <w:rsid w:val="000D4797"/>
    <w:rsid w:val="000E01FC"/>
    <w:rsid w:val="000E0527"/>
    <w:rsid w:val="000E17AD"/>
    <w:rsid w:val="000E1A1F"/>
    <w:rsid w:val="000E1E92"/>
    <w:rsid w:val="000E62DD"/>
    <w:rsid w:val="000F06D6"/>
    <w:rsid w:val="000F0839"/>
    <w:rsid w:val="000F0EB1"/>
    <w:rsid w:val="000F1106"/>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002E"/>
    <w:rsid w:val="001219F5"/>
    <w:rsid w:val="00121A20"/>
    <w:rsid w:val="00122EDF"/>
    <w:rsid w:val="0012377F"/>
    <w:rsid w:val="00124314"/>
    <w:rsid w:val="00124D89"/>
    <w:rsid w:val="00125EA5"/>
    <w:rsid w:val="00126B4A"/>
    <w:rsid w:val="00127B14"/>
    <w:rsid w:val="00132FD0"/>
    <w:rsid w:val="001344C0"/>
    <w:rsid w:val="001346FA"/>
    <w:rsid w:val="00135252"/>
    <w:rsid w:val="00136F34"/>
    <w:rsid w:val="00137AB5"/>
    <w:rsid w:val="00137F0B"/>
    <w:rsid w:val="00140964"/>
    <w:rsid w:val="00142AA9"/>
    <w:rsid w:val="001507D7"/>
    <w:rsid w:val="00151E23"/>
    <w:rsid w:val="001526E0"/>
    <w:rsid w:val="001551B5"/>
    <w:rsid w:val="0016360E"/>
    <w:rsid w:val="00164D4A"/>
    <w:rsid w:val="001659C1"/>
    <w:rsid w:val="00166E7F"/>
    <w:rsid w:val="00170546"/>
    <w:rsid w:val="00170600"/>
    <w:rsid w:val="00170C0D"/>
    <w:rsid w:val="00173A8E"/>
    <w:rsid w:val="00174693"/>
    <w:rsid w:val="001748BD"/>
    <w:rsid w:val="00177795"/>
    <w:rsid w:val="0018143F"/>
    <w:rsid w:val="00182020"/>
    <w:rsid w:val="00183D3A"/>
    <w:rsid w:val="0018412F"/>
    <w:rsid w:val="0018507F"/>
    <w:rsid w:val="001854EE"/>
    <w:rsid w:val="00185502"/>
    <w:rsid w:val="00186A40"/>
    <w:rsid w:val="00190AC1"/>
    <w:rsid w:val="0019341A"/>
    <w:rsid w:val="001949B4"/>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3D2A"/>
    <w:rsid w:val="001D51BA"/>
    <w:rsid w:val="001D6342"/>
    <w:rsid w:val="001D6D53"/>
    <w:rsid w:val="001D79C5"/>
    <w:rsid w:val="001E58E2"/>
    <w:rsid w:val="001E6E7C"/>
    <w:rsid w:val="001E7AED"/>
    <w:rsid w:val="001F238A"/>
    <w:rsid w:val="001F3916"/>
    <w:rsid w:val="001F54C5"/>
    <w:rsid w:val="001F662C"/>
    <w:rsid w:val="001F6F78"/>
    <w:rsid w:val="001F7074"/>
    <w:rsid w:val="00200490"/>
    <w:rsid w:val="00201F3A"/>
    <w:rsid w:val="00202C20"/>
    <w:rsid w:val="00203F96"/>
    <w:rsid w:val="002069B2"/>
    <w:rsid w:val="00207FA3"/>
    <w:rsid w:val="00214DA8"/>
    <w:rsid w:val="00215423"/>
    <w:rsid w:val="002158FA"/>
    <w:rsid w:val="00220600"/>
    <w:rsid w:val="0022138B"/>
    <w:rsid w:val="002224DB"/>
    <w:rsid w:val="00223FCB"/>
    <w:rsid w:val="002252C3"/>
    <w:rsid w:val="00225C54"/>
    <w:rsid w:val="00230765"/>
    <w:rsid w:val="002319E4"/>
    <w:rsid w:val="0023309C"/>
    <w:rsid w:val="002342CA"/>
    <w:rsid w:val="00235632"/>
    <w:rsid w:val="00235872"/>
    <w:rsid w:val="00241559"/>
    <w:rsid w:val="002435B3"/>
    <w:rsid w:val="002458EB"/>
    <w:rsid w:val="002500C8"/>
    <w:rsid w:val="00257543"/>
    <w:rsid w:val="002615AC"/>
    <w:rsid w:val="002617E7"/>
    <w:rsid w:val="00264228"/>
    <w:rsid w:val="00264334"/>
    <w:rsid w:val="0026473E"/>
    <w:rsid w:val="00265B48"/>
    <w:rsid w:val="00266214"/>
    <w:rsid w:val="0026742B"/>
    <w:rsid w:val="00267C83"/>
    <w:rsid w:val="0027144F"/>
    <w:rsid w:val="00271F3A"/>
    <w:rsid w:val="00272738"/>
    <w:rsid w:val="00272BE8"/>
    <w:rsid w:val="00273278"/>
    <w:rsid w:val="002737F4"/>
    <w:rsid w:val="002805F5"/>
    <w:rsid w:val="00280751"/>
    <w:rsid w:val="0028280A"/>
    <w:rsid w:val="0028345A"/>
    <w:rsid w:val="00286ACD"/>
    <w:rsid w:val="00287838"/>
    <w:rsid w:val="002907B5"/>
    <w:rsid w:val="00292EB7"/>
    <w:rsid w:val="00296227"/>
    <w:rsid w:val="00296F44"/>
    <w:rsid w:val="0029745E"/>
    <w:rsid w:val="0029777D"/>
    <w:rsid w:val="002A055E"/>
    <w:rsid w:val="002A1D4E"/>
    <w:rsid w:val="002A24B9"/>
    <w:rsid w:val="002A2869"/>
    <w:rsid w:val="002B0907"/>
    <w:rsid w:val="002B24D6"/>
    <w:rsid w:val="002B3477"/>
    <w:rsid w:val="002B4CE9"/>
    <w:rsid w:val="002C41E6"/>
    <w:rsid w:val="002C4C40"/>
    <w:rsid w:val="002D071A"/>
    <w:rsid w:val="002D1464"/>
    <w:rsid w:val="002D34B2"/>
    <w:rsid w:val="002D4A15"/>
    <w:rsid w:val="002D7225"/>
    <w:rsid w:val="002D7637"/>
    <w:rsid w:val="002E17F2"/>
    <w:rsid w:val="002E6D28"/>
    <w:rsid w:val="002E7CAE"/>
    <w:rsid w:val="002F2251"/>
    <w:rsid w:val="002F2771"/>
    <w:rsid w:val="002F37A9"/>
    <w:rsid w:val="002F5BBD"/>
    <w:rsid w:val="00301CE6"/>
    <w:rsid w:val="0030256B"/>
    <w:rsid w:val="00302CA2"/>
    <w:rsid w:val="003042A8"/>
    <w:rsid w:val="0030501F"/>
    <w:rsid w:val="0030638C"/>
    <w:rsid w:val="00307BA1"/>
    <w:rsid w:val="00310A30"/>
    <w:rsid w:val="003110D0"/>
    <w:rsid w:val="00311702"/>
    <w:rsid w:val="00311CC7"/>
    <w:rsid w:val="00311E82"/>
    <w:rsid w:val="003121A1"/>
    <w:rsid w:val="00313FD6"/>
    <w:rsid w:val="003143BD"/>
    <w:rsid w:val="00314D7C"/>
    <w:rsid w:val="003203ED"/>
    <w:rsid w:val="00322C9F"/>
    <w:rsid w:val="003244F4"/>
    <w:rsid w:val="00324D23"/>
    <w:rsid w:val="00324D6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510E"/>
    <w:rsid w:val="00365F79"/>
    <w:rsid w:val="00370E47"/>
    <w:rsid w:val="003742AC"/>
    <w:rsid w:val="003766F3"/>
    <w:rsid w:val="00377CE1"/>
    <w:rsid w:val="00385BF0"/>
    <w:rsid w:val="003939FF"/>
    <w:rsid w:val="003A1EC8"/>
    <w:rsid w:val="003A2223"/>
    <w:rsid w:val="003A2A0F"/>
    <w:rsid w:val="003A45A1"/>
    <w:rsid w:val="003A5B0A"/>
    <w:rsid w:val="003A5C65"/>
    <w:rsid w:val="003A6BAC"/>
    <w:rsid w:val="003A7EF3"/>
    <w:rsid w:val="003B159C"/>
    <w:rsid w:val="003B369F"/>
    <w:rsid w:val="003B36A3"/>
    <w:rsid w:val="003B7FE5"/>
    <w:rsid w:val="003C11C8"/>
    <w:rsid w:val="003C2702"/>
    <w:rsid w:val="003C7806"/>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311A"/>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4F56"/>
    <w:rsid w:val="00446488"/>
    <w:rsid w:val="004517AA"/>
    <w:rsid w:val="00452B53"/>
    <w:rsid w:val="00452CAC"/>
    <w:rsid w:val="00457565"/>
    <w:rsid w:val="00457B71"/>
    <w:rsid w:val="004669E2"/>
    <w:rsid w:val="00470C31"/>
    <w:rsid w:val="004734D0"/>
    <w:rsid w:val="004736F1"/>
    <w:rsid w:val="0047447B"/>
    <w:rsid w:val="0047556B"/>
    <w:rsid w:val="00477768"/>
    <w:rsid w:val="00484FD1"/>
    <w:rsid w:val="004903E5"/>
    <w:rsid w:val="00492BC5"/>
    <w:rsid w:val="004964F1"/>
    <w:rsid w:val="004A163A"/>
    <w:rsid w:val="004A16BC"/>
    <w:rsid w:val="004A2B94"/>
    <w:rsid w:val="004B6991"/>
    <w:rsid w:val="004B7C0C"/>
    <w:rsid w:val="004C24C1"/>
    <w:rsid w:val="004C3898"/>
    <w:rsid w:val="004C4D69"/>
    <w:rsid w:val="004C6818"/>
    <w:rsid w:val="004D28BE"/>
    <w:rsid w:val="004D36B1"/>
    <w:rsid w:val="004D49A7"/>
    <w:rsid w:val="004D49D5"/>
    <w:rsid w:val="004D4D47"/>
    <w:rsid w:val="004D7EBD"/>
    <w:rsid w:val="004E02FA"/>
    <w:rsid w:val="004E0478"/>
    <w:rsid w:val="004E267D"/>
    <w:rsid w:val="004E2680"/>
    <w:rsid w:val="004E28F9"/>
    <w:rsid w:val="004E2B83"/>
    <w:rsid w:val="004E462E"/>
    <w:rsid w:val="004E56DC"/>
    <w:rsid w:val="004E5829"/>
    <w:rsid w:val="004E6B56"/>
    <w:rsid w:val="004E76F4"/>
    <w:rsid w:val="004F0B4E"/>
    <w:rsid w:val="004F0B6C"/>
    <w:rsid w:val="004F2078"/>
    <w:rsid w:val="004F37F8"/>
    <w:rsid w:val="004F4DA3"/>
    <w:rsid w:val="00500595"/>
    <w:rsid w:val="00500B4A"/>
    <w:rsid w:val="0050591F"/>
    <w:rsid w:val="00506557"/>
    <w:rsid w:val="0050677A"/>
    <w:rsid w:val="005108D8"/>
    <w:rsid w:val="005116F9"/>
    <w:rsid w:val="005153A7"/>
    <w:rsid w:val="005219CF"/>
    <w:rsid w:val="00534B59"/>
    <w:rsid w:val="00536759"/>
    <w:rsid w:val="00537C62"/>
    <w:rsid w:val="005436DA"/>
    <w:rsid w:val="00543986"/>
    <w:rsid w:val="00544D5B"/>
    <w:rsid w:val="00546970"/>
    <w:rsid w:val="00546C74"/>
    <w:rsid w:val="00551B29"/>
    <w:rsid w:val="00554E19"/>
    <w:rsid w:val="00555435"/>
    <w:rsid w:val="00557D7C"/>
    <w:rsid w:val="0056121F"/>
    <w:rsid w:val="0057036A"/>
    <w:rsid w:val="00572505"/>
    <w:rsid w:val="00582809"/>
    <w:rsid w:val="0058798C"/>
    <w:rsid w:val="005900FA"/>
    <w:rsid w:val="005935A4"/>
    <w:rsid w:val="005948C2"/>
    <w:rsid w:val="00595DCA"/>
    <w:rsid w:val="0059779B"/>
    <w:rsid w:val="005A209A"/>
    <w:rsid w:val="005A61E5"/>
    <w:rsid w:val="005A662D"/>
    <w:rsid w:val="005B35D7"/>
    <w:rsid w:val="005B392A"/>
    <w:rsid w:val="005B3AA3"/>
    <w:rsid w:val="005B6F83"/>
    <w:rsid w:val="005C0B51"/>
    <w:rsid w:val="005C0C58"/>
    <w:rsid w:val="005C74FB"/>
    <w:rsid w:val="005D1602"/>
    <w:rsid w:val="005D22E6"/>
    <w:rsid w:val="005E1162"/>
    <w:rsid w:val="005E385F"/>
    <w:rsid w:val="005E5469"/>
    <w:rsid w:val="005E5719"/>
    <w:rsid w:val="005E5B81"/>
    <w:rsid w:val="005F10E8"/>
    <w:rsid w:val="005F2CB1"/>
    <w:rsid w:val="005F3025"/>
    <w:rsid w:val="005F618C"/>
    <w:rsid w:val="005F70BD"/>
    <w:rsid w:val="005F70DE"/>
    <w:rsid w:val="006000BB"/>
    <w:rsid w:val="0060283C"/>
    <w:rsid w:val="00604F14"/>
    <w:rsid w:val="00611B83"/>
    <w:rsid w:val="00613257"/>
    <w:rsid w:val="0061339E"/>
    <w:rsid w:val="00617C2C"/>
    <w:rsid w:val="00620A71"/>
    <w:rsid w:val="00620D80"/>
    <w:rsid w:val="00621B29"/>
    <w:rsid w:val="006234A6"/>
    <w:rsid w:val="0062431E"/>
    <w:rsid w:val="00624B66"/>
    <w:rsid w:val="00630001"/>
    <w:rsid w:val="00630264"/>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221B"/>
    <w:rsid w:val="006741F2"/>
    <w:rsid w:val="00674CC3"/>
    <w:rsid w:val="00675C72"/>
    <w:rsid w:val="00676D03"/>
    <w:rsid w:val="006771F9"/>
    <w:rsid w:val="006776D7"/>
    <w:rsid w:val="00680A4E"/>
    <w:rsid w:val="00681003"/>
    <w:rsid w:val="006817C9"/>
    <w:rsid w:val="00683ECE"/>
    <w:rsid w:val="00685147"/>
    <w:rsid w:val="006876D5"/>
    <w:rsid w:val="00691E97"/>
    <w:rsid w:val="0069491C"/>
    <w:rsid w:val="00695FC2"/>
    <w:rsid w:val="00696949"/>
    <w:rsid w:val="00697052"/>
    <w:rsid w:val="0069729E"/>
    <w:rsid w:val="006A46FB"/>
    <w:rsid w:val="006A5717"/>
    <w:rsid w:val="006A5E28"/>
    <w:rsid w:val="006A697B"/>
    <w:rsid w:val="006A7AFF"/>
    <w:rsid w:val="006B1816"/>
    <w:rsid w:val="006B2099"/>
    <w:rsid w:val="006B50CF"/>
    <w:rsid w:val="006B5BE6"/>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F03E4"/>
    <w:rsid w:val="006F0E67"/>
    <w:rsid w:val="006F14F2"/>
    <w:rsid w:val="006F1B70"/>
    <w:rsid w:val="006F341D"/>
    <w:rsid w:val="006F3CDE"/>
    <w:rsid w:val="006F58D4"/>
    <w:rsid w:val="006F642D"/>
    <w:rsid w:val="0070346E"/>
    <w:rsid w:val="00703C66"/>
    <w:rsid w:val="00704EDB"/>
    <w:rsid w:val="00706101"/>
    <w:rsid w:val="00707072"/>
    <w:rsid w:val="00707D61"/>
    <w:rsid w:val="00712287"/>
    <w:rsid w:val="00712772"/>
    <w:rsid w:val="007148D3"/>
    <w:rsid w:val="0071565A"/>
    <w:rsid w:val="00715B9A"/>
    <w:rsid w:val="00716F2B"/>
    <w:rsid w:val="00720D98"/>
    <w:rsid w:val="007219DD"/>
    <w:rsid w:val="00726EA6"/>
    <w:rsid w:val="00727208"/>
    <w:rsid w:val="00727680"/>
    <w:rsid w:val="00730A5D"/>
    <w:rsid w:val="0073169C"/>
    <w:rsid w:val="007348B1"/>
    <w:rsid w:val="007362A6"/>
    <w:rsid w:val="007369A2"/>
    <w:rsid w:val="00736D7D"/>
    <w:rsid w:val="00740E58"/>
    <w:rsid w:val="00742371"/>
    <w:rsid w:val="007445A0"/>
    <w:rsid w:val="0074524B"/>
    <w:rsid w:val="00747D8B"/>
    <w:rsid w:val="00750E8F"/>
    <w:rsid w:val="00751228"/>
    <w:rsid w:val="007539C9"/>
    <w:rsid w:val="007557B4"/>
    <w:rsid w:val="007571E1"/>
    <w:rsid w:val="007604B2"/>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83B"/>
    <w:rsid w:val="00793CD8"/>
    <w:rsid w:val="007956AE"/>
    <w:rsid w:val="00795C92"/>
    <w:rsid w:val="00796231"/>
    <w:rsid w:val="007A1CB3"/>
    <w:rsid w:val="007A306F"/>
    <w:rsid w:val="007A43A6"/>
    <w:rsid w:val="007A512C"/>
    <w:rsid w:val="007A58A6"/>
    <w:rsid w:val="007A7157"/>
    <w:rsid w:val="007B3D2D"/>
    <w:rsid w:val="007B50AE"/>
    <w:rsid w:val="007B51DF"/>
    <w:rsid w:val="007B5283"/>
    <w:rsid w:val="007B71A3"/>
    <w:rsid w:val="007C05DD"/>
    <w:rsid w:val="007C3D18"/>
    <w:rsid w:val="007C60BF"/>
    <w:rsid w:val="007C6A07"/>
    <w:rsid w:val="007C75A1"/>
    <w:rsid w:val="007C77A5"/>
    <w:rsid w:val="007D04E5"/>
    <w:rsid w:val="007D497F"/>
    <w:rsid w:val="007D5901"/>
    <w:rsid w:val="007D7526"/>
    <w:rsid w:val="007E1602"/>
    <w:rsid w:val="007E4610"/>
    <w:rsid w:val="007E4715"/>
    <w:rsid w:val="007E505B"/>
    <w:rsid w:val="007E7091"/>
    <w:rsid w:val="007F09D8"/>
    <w:rsid w:val="00803FAE"/>
    <w:rsid w:val="00804708"/>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6FE7"/>
    <w:rsid w:val="00851771"/>
    <w:rsid w:val="00852D00"/>
    <w:rsid w:val="00856911"/>
    <w:rsid w:val="00860E7F"/>
    <w:rsid w:val="008641A8"/>
    <w:rsid w:val="00864766"/>
    <w:rsid w:val="008648B3"/>
    <w:rsid w:val="008677FD"/>
    <w:rsid w:val="008706D4"/>
    <w:rsid w:val="00870F8A"/>
    <w:rsid w:val="008719A4"/>
    <w:rsid w:val="00871D23"/>
    <w:rsid w:val="00874312"/>
    <w:rsid w:val="0087437C"/>
    <w:rsid w:val="00875CD7"/>
    <w:rsid w:val="00876B4D"/>
    <w:rsid w:val="00877F18"/>
    <w:rsid w:val="00883405"/>
    <w:rsid w:val="00893EEF"/>
    <w:rsid w:val="00894A88"/>
    <w:rsid w:val="00895386"/>
    <w:rsid w:val="00895561"/>
    <w:rsid w:val="00895AD9"/>
    <w:rsid w:val="008967DC"/>
    <w:rsid w:val="008A21FF"/>
    <w:rsid w:val="008A2CE2"/>
    <w:rsid w:val="008A30AC"/>
    <w:rsid w:val="008A44B8"/>
    <w:rsid w:val="008A51A8"/>
    <w:rsid w:val="008A54C7"/>
    <w:rsid w:val="008A77D8"/>
    <w:rsid w:val="008A7A95"/>
    <w:rsid w:val="008B0483"/>
    <w:rsid w:val="008B120C"/>
    <w:rsid w:val="008B51A0"/>
    <w:rsid w:val="008B592A"/>
    <w:rsid w:val="008B621D"/>
    <w:rsid w:val="008B73A9"/>
    <w:rsid w:val="008B7B5C"/>
    <w:rsid w:val="008C0C99"/>
    <w:rsid w:val="008C2017"/>
    <w:rsid w:val="008C2915"/>
    <w:rsid w:val="008C48E6"/>
    <w:rsid w:val="008C4958"/>
    <w:rsid w:val="008C4BAA"/>
    <w:rsid w:val="008C5A7F"/>
    <w:rsid w:val="008C6AE8"/>
    <w:rsid w:val="008C7573"/>
    <w:rsid w:val="008D1A14"/>
    <w:rsid w:val="008D34F1"/>
    <w:rsid w:val="008D39D8"/>
    <w:rsid w:val="008D6D1A"/>
    <w:rsid w:val="008D7029"/>
    <w:rsid w:val="008E065E"/>
    <w:rsid w:val="008E0927"/>
    <w:rsid w:val="008E1909"/>
    <w:rsid w:val="008E361B"/>
    <w:rsid w:val="008F1EAB"/>
    <w:rsid w:val="008F33DC"/>
    <w:rsid w:val="008F477F"/>
    <w:rsid w:val="00902350"/>
    <w:rsid w:val="0090336B"/>
    <w:rsid w:val="00903B34"/>
    <w:rsid w:val="009053AA"/>
    <w:rsid w:val="00906939"/>
    <w:rsid w:val="009078A5"/>
    <w:rsid w:val="00907D51"/>
    <w:rsid w:val="00910B7D"/>
    <w:rsid w:val="00911DFB"/>
    <w:rsid w:val="00912C6A"/>
    <w:rsid w:val="009139D9"/>
    <w:rsid w:val="00914AD8"/>
    <w:rsid w:val="00916079"/>
    <w:rsid w:val="00917194"/>
    <w:rsid w:val="00917CE9"/>
    <w:rsid w:val="00920BF2"/>
    <w:rsid w:val="00922010"/>
    <w:rsid w:val="009263BB"/>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601"/>
    <w:rsid w:val="00961921"/>
    <w:rsid w:val="0096430A"/>
    <w:rsid w:val="0096518D"/>
    <w:rsid w:val="0096554B"/>
    <w:rsid w:val="0096584A"/>
    <w:rsid w:val="00971F08"/>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CBA"/>
    <w:rsid w:val="009B1F30"/>
    <w:rsid w:val="009B3AC2"/>
    <w:rsid w:val="009B4DF4"/>
    <w:rsid w:val="009B4FF0"/>
    <w:rsid w:val="009B564E"/>
    <w:rsid w:val="009B7E87"/>
    <w:rsid w:val="009C11C1"/>
    <w:rsid w:val="009C2D17"/>
    <w:rsid w:val="009C403E"/>
    <w:rsid w:val="009C5D6A"/>
    <w:rsid w:val="009D27F4"/>
    <w:rsid w:val="009D4FF0"/>
    <w:rsid w:val="009D6F94"/>
    <w:rsid w:val="009D703C"/>
    <w:rsid w:val="009D718F"/>
    <w:rsid w:val="009E068F"/>
    <w:rsid w:val="009E14E0"/>
    <w:rsid w:val="009E35DB"/>
    <w:rsid w:val="009E47A3"/>
    <w:rsid w:val="009E5A76"/>
    <w:rsid w:val="009E6849"/>
    <w:rsid w:val="009F08F3"/>
    <w:rsid w:val="009F18A9"/>
    <w:rsid w:val="009F344F"/>
    <w:rsid w:val="00A02E75"/>
    <w:rsid w:val="00A048A8"/>
    <w:rsid w:val="00A04F49"/>
    <w:rsid w:val="00A13E54"/>
    <w:rsid w:val="00A17F63"/>
    <w:rsid w:val="00A207DD"/>
    <w:rsid w:val="00A2193B"/>
    <w:rsid w:val="00A2351A"/>
    <w:rsid w:val="00A23A8D"/>
    <w:rsid w:val="00A264A9"/>
    <w:rsid w:val="00A275C6"/>
    <w:rsid w:val="00A27785"/>
    <w:rsid w:val="00A30187"/>
    <w:rsid w:val="00A3448A"/>
    <w:rsid w:val="00A36297"/>
    <w:rsid w:val="00A40019"/>
    <w:rsid w:val="00A41E2B"/>
    <w:rsid w:val="00A45B74"/>
    <w:rsid w:val="00A52E1D"/>
    <w:rsid w:val="00A54210"/>
    <w:rsid w:val="00A54B08"/>
    <w:rsid w:val="00A570F2"/>
    <w:rsid w:val="00A5758B"/>
    <w:rsid w:val="00A61499"/>
    <w:rsid w:val="00A62A77"/>
    <w:rsid w:val="00A63483"/>
    <w:rsid w:val="00A653DB"/>
    <w:rsid w:val="00A657D7"/>
    <w:rsid w:val="00A660AC"/>
    <w:rsid w:val="00A67E6C"/>
    <w:rsid w:val="00A71B99"/>
    <w:rsid w:val="00A7315F"/>
    <w:rsid w:val="00A739D0"/>
    <w:rsid w:val="00A75908"/>
    <w:rsid w:val="00A761D4"/>
    <w:rsid w:val="00A77441"/>
    <w:rsid w:val="00A77EC4"/>
    <w:rsid w:val="00A8033B"/>
    <w:rsid w:val="00A80920"/>
    <w:rsid w:val="00A92879"/>
    <w:rsid w:val="00A93FC2"/>
    <w:rsid w:val="00A9442A"/>
    <w:rsid w:val="00A95CF5"/>
    <w:rsid w:val="00A967B9"/>
    <w:rsid w:val="00AA016F"/>
    <w:rsid w:val="00AA1ED6"/>
    <w:rsid w:val="00AA3BFA"/>
    <w:rsid w:val="00AA4801"/>
    <w:rsid w:val="00AA51D6"/>
    <w:rsid w:val="00AB0BC8"/>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E27AC"/>
    <w:rsid w:val="00AE40E0"/>
    <w:rsid w:val="00AE4DBA"/>
    <w:rsid w:val="00AE4F07"/>
    <w:rsid w:val="00AE5AE8"/>
    <w:rsid w:val="00AE6CFE"/>
    <w:rsid w:val="00AE7CA0"/>
    <w:rsid w:val="00AF1C5D"/>
    <w:rsid w:val="00AF42D7"/>
    <w:rsid w:val="00B006FE"/>
    <w:rsid w:val="00B007CB"/>
    <w:rsid w:val="00B007FC"/>
    <w:rsid w:val="00B02AA9"/>
    <w:rsid w:val="00B02FA3"/>
    <w:rsid w:val="00B05084"/>
    <w:rsid w:val="00B05920"/>
    <w:rsid w:val="00B07227"/>
    <w:rsid w:val="00B10020"/>
    <w:rsid w:val="00B119E8"/>
    <w:rsid w:val="00B126ED"/>
    <w:rsid w:val="00B157F9"/>
    <w:rsid w:val="00B20256"/>
    <w:rsid w:val="00B20D09"/>
    <w:rsid w:val="00B2273B"/>
    <w:rsid w:val="00B2763F"/>
    <w:rsid w:val="00B27AAC"/>
    <w:rsid w:val="00B30929"/>
    <w:rsid w:val="00B372AA"/>
    <w:rsid w:val="00B40445"/>
    <w:rsid w:val="00B41888"/>
    <w:rsid w:val="00B4408D"/>
    <w:rsid w:val="00B45A52"/>
    <w:rsid w:val="00B46175"/>
    <w:rsid w:val="00B47E43"/>
    <w:rsid w:val="00B52376"/>
    <w:rsid w:val="00B5335A"/>
    <w:rsid w:val="00B5723B"/>
    <w:rsid w:val="00B5724B"/>
    <w:rsid w:val="00B60EF1"/>
    <w:rsid w:val="00B6188F"/>
    <w:rsid w:val="00B628C5"/>
    <w:rsid w:val="00B64E41"/>
    <w:rsid w:val="00B664C7"/>
    <w:rsid w:val="00B72301"/>
    <w:rsid w:val="00B739F6"/>
    <w:rsid w:val="00B81A6C"/>
    <w:rsid w:val="00B81BE4"/>
    <w:rsid w:val="00B842A0"/>
    <w:rsid w:val="00B85DE5"/>
    <w:rsid w:val="00B90F73"/>
    <w:rsid w:val="00B92C5A"/>
    <w:rsid w:val="00B9371D"/>
    <w:rsid w:val="00B93B59"/>
    <w:rsid w:val="00B9406A"/>
    <w:rsid w:val="00BA2280"/>
    <w:rsid w:val="00BA2A08"/>
    <w:rsid w:val="00BA56D2"/>
    <w:rsid w:val="00BA6C49"/>
    <w:rsid w:val="00BA76E0"/>
    <w:rsid w:val="00BB0976"/>
    <w:rsid w:val="00BB207A"/>
    <w:rsid w:val="00BB2A25"/>
    <w:rsid w:val="00BB51E9"/>
    <w:rsid w:val="00BB579E"/>
    <w:rsid w:val="00BB5C77"/>
    <w:rsid w:val="00BB6127"/>
    <w:rsid w:val="00BC0FDC"/>
    <w:rsid w:val="00BC3053"/>
    <w:rsid w:val="00BC4D2E"/>
    <w:rsid w:val="00BC5E44"/>
    <w:rsid w:val="00BD48AC"/>
    <w:rsid w:val="00BD5C65"/>
    <w:rsid w:val="00BD5F1A"/>
    <w:rsid w:val="00BD762E"/>
    <w:rsid w:val="00BE1234"/>
    <w:rsid w:val="00BE2FA6"/>
    <w:rsid w:val="00BE333F"/>
    <w:rsid w:val="00BE7406"/>
    <w:rsid w:val="00BE7603"/>
    <w:rsid w:val="00BF3279"/>
    <w:rsid w:val="00BF6981"/>
    <w:rsid w:val="00BF74C7"/>
    <w:rsid w:val="00C015F1"/>
    <w:rsid w:val="00C01F33"/>
    <w:rsid w:val="00C02CC6"/>
    <w:rsid w:val="00C040F7"/>
    <w:rsid w:val="00C041B0"/>
    <w:rsid w:val="00C044AB"/>
    <w:rsid w:val="00C05706"/>
    <w:rsid w:val="00C06031"/>
    <w:rsid w:val="00C07377"/>
    <w:rsid w:val="00C10478"/>
    <w:rsid w:val="00C1093B"/>
    <w:rsid w:val="00C12107"/>
    <w:rsid w:val="00C14D4B"/>
    <w:rsid w:val="00C154BB"/>
    <w:rsid w:val="00C2207B"/>
    <w:rsid w:val="00C25F2F"/>
    <w:rsid w:val="00C27624"/>
    <w:rsid w:val="00C279B5"/>
    <w:rsid w:val="00C27C45"/>
    <w:rsid w:val="00C309D7"/>
    <w:rsid w:val="00C3719D"/>
    <w:rsid w:val="00C52298"/>
    <w:rsid w:val="00C54995"/>
    <w:rsid w:val="00C54D41"/>
    <w:rsid w:val="00C57B03"/>
    <w:rsid w:val="00C60783"/>
    <w:rsid w:val="00C6456E"/>
    <w:rsid w:val="00C64672"/>
    <w:rsid w:val="00C704D9"/>
    <w:rsid w:val="00C70697"/>
    <w:rsid w:val="00C70A93"/>
    <w:rsid w:val="00C72EF4"/>
    <w:rsid w:val="00C75D2F"/>
    <w:rsid w:val="00C767BE"/>
    <w:rsid w:val="00C76E3C"/>
    <w:rsid w:val="00C77721"/>
    <w:rsid w:val="00C7775C"/>
    <w:rsid w:val="00C81568"/>
    <w:rsid w:val="00C9027A"/>
    <w:rsid w:val="00C9068E"/>
    <w:rsid w:val="00C93C4B"/>
    <w:rsid w:val="00C944AB"/>
    <w:rsid w:val="00C95B40"/>
    <w:rsid w:val="00C96AC8"/>
    <w:rsid w:val="00CA1B65"/>
    <w:rsid w:val="00CA1ED8"/>
    <w:rsid w:val="00CA2D38"/>
    <w:rsid w:val="00CA424B"/>
    <w:rsid w:val="00CA4F77"/>
    <w:rsid w:val="00CA7DAA"/>
    <w:rsid w:val="00CB1F63"/>
    <w:rsid w:val="00CB456D"/>
    <w:rsid w:val="00CB462A"/>
    <w:rsid w:val="00CB4675"/>
    <w:rsid w:val="00CB6DFE"/>
    <w:rsid w:val="00CB7170"/>
    <w:rsid w:val="00CC040E"/>
    <w:rsid w:val="00CC111F"/>
    <w:rsid w:val="00CC2011"/>
    <w:rsid w:val="00CC3EA0"/>
    <w:rsid w:val="00CC5691"/>
    <w:rsid w:val="00CC5A99"/>
    <w:rsid w:val="00CC6F59"/>
    <w:rsid w:val="00CC7B45"/>
    <w:rsid w:val="00CD1188"/>
    <w:rsid w:val="00CD2ED1"/>
    <w:rsid w:val="00CD337B"/>
    <w:rsid w:val="00CD582F"/>
    <w:rsid w:val="00CD676E"/>
    <w:rsid w:val="00CD7A35"/>
    <w:rsid w:val="00CE0424"/>
    <w:rsid w:val="00CE2C58"/>
    <w:rsid w:val="00CE36CF"/>
    <w:rsid w:val="00CE6967"/>
    <w:rsid w:val="00CE7561"/>
    <w:rsid w:val="00CF1354"/>
    <w:rsid w:val="00CF3B1F"/>
    <w:rsid w:val="00CF3BF6"/>
    <w:rsid w:val="00CF625B"/>
    <w:rsid w:val="00CF687E"/>
    <w:rsid w:val="00CF7549"/>
    <w:rsid w:val="00D00035"/>
    <w:rsid w:val="00D0349B"/>
    <w:rsid w:val="00D10249"/>
    <w:rsid w:val="00D10B2C"/>
    <w:rsid w:val="00D115C3"/>
    <w:rsid w:val="00D11897"/>
    <w:rsid w:val="00D13135"/>
    <w:rsid w:val="00D13E4E"/>
    <w:rsid w:val="00D17D6A"/>
    <w:rsid w:val="00D239A7"/>
    <w:rsid w:val="00D23F47"/>
    <w:rsid w:val="00D2450E"/>
    <w:rsid w:val="00D34D96"/>
    <w:rsid w:val="00D36BB2"/>
    <w:rsid w:val="00D36E71"/>
    <w:rsid w:val="00D37D87"/>
    <w:rsid w:val="00D40B33"/>
    <w:rsid w:val="00D43082"/>
    <w:rsid w:val="00D4318F"/>
    <w:rsid w:val="00D438BF"/>
    <w:rsid w:val="00D440F8"/>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B6E61"/>
    <w:rsid w:val="00DC2D36"/>
    <w:rsid w:val="00DC2D80"/>
    <w:rsid w:val="00DC53EF"/>
    <w:rsid w:val="00DC61AE"/>
    <w:rsid w:val="00DD48A9"/>
    <w:rsid w:val="00DD5680"/>
    <w:rsid w:val="00DD6CB5"/>
    <w:rsid w:val="00DE1A4C"/>
    <w:rsid w:val="00DE306E"/>
    <w:rsid w:val="00DE5608"/>
    <w:rsid w:val="00DE58D0"/>
    <w:rsid w:val="00DE654F"/>
    <w:rsid w:val="00DF0B6E"/>
    <w:rsid w:val="00DF15E0"/>
    <w:rsid w:val="00DF31B7"/>
    <w:rsid w:val="00DF37A0"/>
    <w:rsid w:val="00E110E7"/>
    <w:rsid w:val="00E11B20"/>
    <w:rsid w:val="00E17FA2"/>
    <w:rsid w:val="00E21714"/>
    <w:rsid w:val="00E22330"/>
    <w:rsid w:val="00E22766"/>
    <w:rsid w:val="00E27AA3"/>
    <w:rsid w:val="00E30225"/>
    <w:rsid w:val="00E30B5A"/>
    <w:rsid w:val="00E30C30"/>
    <w:rsid w:val="00E3123D"/>
    <w:rsid w:val="00E31461"/>
    <w:rsid w:val="00E31D43"/>
    <w:rsid w:val="00E32608"/>
    <w:rsid w:val="00E34188"/>
    <w:rsid w:val="00E34B6E"/>
    <w:rsid w:val="00E35559"/>
    <w:rsid w:val="00E3723A"/>
    <w:rsid w:val="00E37860"/>
    <w:rsid w:val="00E446F1"/>
    <w:rsid w:val="00E45919"/>
    <w:rsid w:val="00E46886"/>
    <w:rsid w:val="00E47AEF"/>
    <w:rsid w:val="00E53B75"/>
    <w:rsid w:val="00E54E3B"/>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41B8"/>
    <w:rsid w:val="00EA4A9E"/>
    <w:rsid w:val="00EA7A41"/>
    <w:rsid w:val="00EB077B"/>
    <w:rsid w:val="00EB3AF5"/>
    <w:rsid w:val="00EB4B3F"/>
    <w:rsid w:val="00EB4EA2"/>
    <w:rsid w:val="00EB5722"/>
    <w:rsid w:val="00EC27C6"/>
    <w:rsid w:val="00EC4207"/>
    <w:rsid w:val="00EC5653"/>
    <w:rsid w:val="00EC7041"/>
    <w:rsid w:val="00EC71CE"/>
    <w:rsid w:val="00ED1006"/>
    <w:rsid w:val="00ED3BA3"/>
    <w:rsid w:val="00ED4531"/>
    <w:rsid w:val="00EE3B4B"/>
    <w:rsid w:val="00EE66C7"/>
    <w:rsid w:val="00EE7DBF"/>
    <w:rsid w:val="00EF18FE"/>
    <w:rsid w:val="00EF191A"/>
    <w:rsid w:val="00EF1EA9"/>
    <w:rsid w:val="00EF5787"/>
    <w:rsid w:val="00EF5838"/>
    <w:rsid w:val="00EF60D0"/>
    <w:rsid w:val="00F02322"/>
    <w:rsid w:val="00F02DB2"/>
    <w:rsid w:val="00F02EAC"/>
    <w:rsid w:val="00F0320F"/>
    <w:rsid w:val="00F03D6C"/>
    <w:rsid w:val="00F0528D"/>
    <w:rsid w:val="00F06C67"/>
    <w:rsid w:val="00F06DFD"/>
    <w:rsid w:val="00F071D1"/>
    <w:rsid w:val="00F07533"/>
    <w:rsid w:val="00F10629"/>
    <w:rsid w:val="00F15FA5"/>
    <w:rsid w:val="00F209B7"/>
    <w:rsid w:val="00F225CA"/>
    <w:rsid w:val="00F2376F"/>
    <w:rsid w:val="00F243D8"/>
    <w:rsid w:val="00F27D79"/>
    <w:rsid w:val="00F30828"/>
    <w:rsid w:val="00F3135E"/>
    <w:rsid w:val="00F313D6"/>
    <w:rsid w:val="00F40F0C"/>
    <w:rsid w:val="00F4766C"/>
    <w:rsid w:val="00F507D1"/>
    <w:rsid w:val="00F519CE"/>
    <w:rsid w:val="00F51ADA"/>
    <w:rsid w:val="00F56BBD"/>
    <w:rsid w:val="00F607C5"/>
    <w:rsid w:val="00F60DEA"/>
    <w:rsid w:val="00F62874"/>
    <w:rsid w:val="00F6302A"/>
    <w:rsid w:val="00F63775"/>
    <w:rsid w:val="00F64C2B"/>
    <w:rsid w:val="00F651BE"/>
    <w:rsid w:val="00F66EB7"/>
    <w:rsid w:val="00F67F53"/>
    <w:rsid w:val="00F703BE"/>
    <w:rsid w:val="00F7144F"/>
    <w:rsid w:val="00F71F69"/>
    <w:rsid w:val="00F72B72"/>
    <w:rsid w:val="00F74BB9"/>
    <w:rsid w:val="00F75582"/>
    <w:rsid w:val="00F76EFA"/>
    <w:rsid w:val="00F804BE"/>
    <w:rsid w:val="00F817CE"/>
    <w:rsid w:val="00F84440"/>
    <w:rsid w:val="00F8456C"/>
    <w:rsid w:val="00F859D8"/>
    <w:rsid w:val="00F868F5"/>
    <w:rsid w:val="00F9056A"/>
    <w:rsid w:val="00F90F8D"/>
    <w:rsid w:val="00F92782"/>
    <w:rsid w:val="00F93AA9"/>
    <w:rsid w:val="00F96985"/>
    <w:rsid w:val="00F97838"/>
    <w:rsid w:val="00FA2BB3"/>
    <w:rsid w:val="00FA46B8"/>
    <w:rsid w:val="00FA6F0B"/>
    <w:rsid w:val="00FB4C80"/>
    <w:rsid w:val="00FB6A6A"/>
    <w:rsid w:val="00FC7429"/>
    <w:rsid w:val="00FD0620"/>
    <w:rsid w:val="00FD07F6"/>
    <w:rsid w:val="00FD1EC8"/>
    <w:rsid w:val="00FD47ED"/>
    <w:rsid w:val="00FD5DD1"/>
    <w:rsid w:val="00FD74DB"/>
    <w:rsid w:val="00FD7660"/>
    <w:rsid w:val="00FE0655"/>
    <w:rsid w:val="00FE1A36"/>
    <w:rsid w:val="00FE2365"/>
    <w:rsid w:val="00FE4C7B"/>
    <w:rsid w:val="00FE6989"/>
    <w:rsid w:val="00FE7336"/>
    <w:rsid w:val="00FE787C"/>
    <w:rsid w:val="00FF1171"/>
    <w:rsid w:val="00FF12BE"/>
    <w:rsid w:val="00FF2B84"/>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15:docId w15:val="{17D90D5B-C323-40F4-92D2-BA98C379D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25EA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25EA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25EA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25EA5"/>
    <w:pPr>
      <w:numPr>
        <w:ilvl w:val="2"/>
      </w:numPr>
      <w:spacing w:before="120"/>
      <w:outlineLvl w:val="2"/>
    </w:pPr>
    <w:rPr>
      <w:sz w:val="28"/>
      <w:szCs w:val="28"/>
    </w:rPr>
  </w:style>
  <w:style w:type="paragraph" w:styleId="Heading4">
    <w:name w:val="heading 4"/>
    <w:basedOn w:val="Heading3"/>
    <w:next w:val="Normal"/>
    <w:qFormat/>
    <w:rsid w:val="00125EA5"/>
    <w:pPr>
      <w:numPr>
        <w:ilvl w:val="3"/>
      </w:numPr>
      <w:outlineLvl w:val="3"/>
    </w:pPr>
    <w:rPr>
      <w:sz w:val="24"/>
      <w:szCs w:val="24"/>
    </w:rPr>
  </w:style>
  <w:style w:type="paragraph" w:styleId="Heading5">
    <w:name w:val="heading 5"/>
    <w:basedOn w:val="Heading4"/>
    <w:next w:val="Normal"/>
    <w:qFormat/>
    <w:rsid w:val="00125EA5"/>
    <w:pPr>
      <w:numPr>
        <w:ilvl w:val="4"/>
      </w:numPr>
      <w:outlineLvl w:val="4"/>
    </w:pPr>
    <w:rPr>
      <w:sz w:val="22"/>
      <w:szCs w:val="22"/>
    </w:rPr>
  </w:style>
  <w:style w:type="paragraph" w:styleId="Heading6">
    <w:name w:val="heading 6"/>
    <w:basedOn w:val="Normal"/>
    <w:next w:val="Normal"/>
    <w:qFormat/>
    <w:rsid w:val="00125EA5"/>
    <w:pPr>
      <w:keepNext/>
      <w:keepLines/>
      <w:numPr>
        <w:ilvl w:val="5"/>
        <w:numId w:val="1"/>
      </w:numPr>
      <w:spacing w:before="120"/>
      <w:outlineLvl w:val="5"/>
    </w:pPr>
    <w:rPr>
      <w:rFonts w:cs="Arial"/>
    </w:rPr>
  </w:style>
  <w:style w:type="paragraph" w:styleId="Heading7">
    <w:name w:val="heading 7"/>
    <w:basedOn w:val="Normal"/>
    <w:next w:val="Normal"/>
    <w:qFormat/>
    <w:rsid w:val="00125EA5"/>
    <w:pPr>
      <w:keepNext/>
      <w:keepLines/>
      <w:numPr>
        <w:ilvl w:val="6"/>
        <w:numId w:val="1"/>
      </w:numPr>
      <w:spacing w:before="120"/>
      <w:outlineLvl w:val="6"/>
    </w:pPr>
    <w:rPr>
      <w:rFonts w:cs="Arial"/>
    </w:rPr>
  </w:style>
  <w:style w:type="paragraph" w:styleId="Heading8">
    <w:name w:val="heading 8"/>
    <w:basedOn w:val="Heading7"/>
    <w:next w:val="Normal"/>
    <w:qFormat/>
    <w:rsid w:val="00125EA5"/>
    <w:pPr>
      <w:numPr>
        <w:ilvl w:val="7"/>
      </w:numPr>
      <w:outlineLvl w:val="7"/>
    </w:pPr>
  </w:style>
  <w:style w:type="paragraph" w:styleId="Heading9">
    <w:name w:val="heading 9"/>
    <w:basedOn w:val="Heading8"/>
    <w:next w:val="Normal"/>
    <w:qFormat/>
    <w:rsid w:val="00125E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25EA5"/>
    <w:pPr>
      <w:spacing w:before="180"/>
      <w:ind w:left="2693" w:hanging="2693"/>
    </w:pPr>
    <w:rPr>
      <w:b w:val="0"/>
      <w:bCs/>
    </w:rPr>
  </w:style>
  <w:style w:type="paragraph" w:styleId="TOC1">
    <w:name w:val="toc 1"/>
    <w:aliases w:val="Observation TOC2"/>
    <w:uiPriority w:val="39"/>
    <w:rsid w:val="00125EA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25EA5"/>
    <w:pPr>
      <w:keepNext/>
      <w:keepLines/>
      <w:spacing w:before="180"/>
      <w:jc w:val="center"/>
    </w:pPr>
  </w:style>
  <w:style w:type="paragraph" w:styleId="Caption">
    <w:name w:val="caption"/>
    <w:basedOn w:val="Normal"/>
    <w:next w:val="Normal"/>
    <w:qFormat/>
    <w:rsid w:val="00125EA5"/>
    <w:pPr>
      <w:spacing w:after="240"/>
      <w:jc w:val="center"/>
    </w:pPr>
    <w:rPr>
      <w:b/>
      <w:bCs/>
    </w:rPr>
  </w:style>
  <w:style w:type="paragraph" w:styleId="TOC5">
    <w:name w:val="toc 5"/>
    <w:aliases w:val="Observation TOC"/>
    <w:basedOn w:val="TOC4"/>
    <w:semiHidden/>
    <w:rsid w:val="00125EA5"/>
    <w:pPr>
      <w:tabs>
        <w:tab w:val="right" w:pos="1701"/>
      </w:tabs>
      <w:ind w:left="1701" w:hanging="1701"/>
    </w:pPr>
  </w:style>
  <w:style w:type="paragraph" w:styleId="TOC4">
    <w:name w:val="toc 4"/>
    <w:basedOn w:val="TOC3"/>
    <w:semiHidden/>
    <w:rsid w:val="00125EA5"/>
    <w:pPr>
      <w:ind w:left="1418" w:hanging="1418"/>
    </w:pPr>
  </w:style>
  <w:style w:type="paragraph" w:styleId="TOC3">
    <w:name w:val="toc 3"/>
    <w:basedOn w:val="TOC2"/>
    <w:semiHidden/>
    <w:rsid w:val="00125EA5"/>
    <w:pPr>
      <w:ind w:left="1134" w:hanging="1134"/>
    </w:pPr>
  </w:style>
  <w:style w:type="paragraph" w:styleId="TOC2">
    <w:name w:val="toc 2"/>
    <w:basedOn w:val="TOC1"/>
    <w:semiHidden/>
    <w:rsid w:val="00125EA5"/>
    <w:pPr>
      <w:keepNext w:val="0"/>
      <w:spacing w:before="0"/>
      <w:ind w:left="851" w:hanging="851"/>
    </w:pPr>
    <w:rPr>
      <w:szCs w:val="20"/>
    </w:rPr>
  </w:style>
  <w:style w:type="paragraph" w:styleId="Index2">
    <w:name w:val="index 2"/>
    <w:basedOn w:val="Index1"/>
    <w:semiHidden/>
    <w:rsid w:val="00125EA5"/>
    <w:pPr>
      <w:ind w:left="284"/>
    </w:pPr>
  </w:style>
  <w:style w:type="paragraph" w:styleId="Index1">
    <w:name w:val="index 1"/>
    <w:basedOn w:val="Normal"/>
    <w:semiHidden/>
    <w:rsid w:val="00125EA5"/>
    <w:pPr>
      <w:keepLines/>
      <w:spacing w:after="0"/>
    </w:pPr>
  </w:style>
  <w:style w:type="paragraph" w:styleId="DocumentMap">
    <w:name w:val="Document Map"/>
    <w:basedOn w:val="Normal"/>
    <w:semiHidden/>
    <w:rsid w:val="00125EA5"/>
    <w:pPr>
      <w:shd w:val="clear" w:color="auto" w:fill="000080"/>
    </w:pPr>
    <w:rPr>
      <w:rFonts w:ascii="Tahoma" w:hAnsi="Tahoma" w:cs="Tahoma"/>
    </w:rPr>
  </w:style>
  <w:style w:type="paragraph" w:styleId="ListNumber2">
    <w:name w:val="List Number 2"/>
    <w:basedOn w:val="ListNumber"/>
    <w:rsid w:val="00125EA5"/>
    <w:pPr>
      <w:ind w:left="851"/>
    </w:pPr>
  </w:style>
  <w:style w:type="paragraph" w:styleId="ListNumber">
    <w:name w:val="List Number"/>
    <w:basedOn w:val="List"/>
    <w:rsid w:val="00125EA5"/>
  </w:style>
  <w:style w:type="paragraph" w:styleId="List">
    <w:name w:val="List"/>
    <w:basedOn w:val="Normal"/>
    <w:rsid w:val="00125EA5"/>
    <w:pPr>
      <w:ind w:left="568" w:hanging="284"/>
    </w:pPr>
  </w:style>
  <w:style w:type="paragraph" w:styleId="Header">
    <w:name w:val="header"/>
    <w:rsid w:val="00125EA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25EA5"/>
    <w:rPr>
      <w:b/>
      <w:bCs/>
      <w:position w:val="6"/>
      <w:sz w:val="16"/>
      <w:szCs w:val="16"/>
    </w:rPr>
  </w:style>
  <w:style w:type="paragraph" w:styleId="FootnoteText">
    <w:name w:val="footnote text"/>
    <w:basedOn w:val="Normal"/>
    <w:semiHidden/>
    <w:rsid w:val="00125EA5"/>
    <w:pPr>
      <w:keepLines/>
      <w:spacing w:after="0"/>
      <w:ind w:left="454" w:hanging="454"/>
    </w:pPr>
    <w:rPr>
      <w:sz w:val="16"/>
      <w:szCs w:val="16"/>
    </w:rPr>
  </w:style>
  <w:style w:type="paragraph" w:customStyle="1" w:styleId="3GPPHeader">
    <w:name w:val="3GPP_Header"/>
    <w:basedOn w:val="Normal"/>
    <w:rsid w:val="00125EA5"/>
    <w:pPr>
      <w:tabs>
        <w:tab w:val="left" w:pos="1701"/>
        <w:tab w:val="right" w:pos="9639"/>
      </w:tabs>
      <w:spacing w:after="240"/>
    </w:pPr>
    <w:rPr>
      <w:b/>
      <w:sz w:val="24"/>
    </w:rPr>
  </w:style>
  <w:style w:type="paragraph" w:styleId="TOC9">
    <w:name w:val="toc 9"/>
    <w:basedOn w:val="TOC8"/>
    <w:semiHidden/>
    <w:rsid w:val="00125EA5"/>
    <w:pPr>
      <w:ind w:left="1418" w:hanging="1418"/>
    </w:pPr>
  </w:style>
  <w:style w:type="paragraph" w:styleId="TOC6">
    <w:name w:val="toc 6"/>
    <w:basedOn w:val="TOC5"/>
    <w:next w:val="Normal"/>
    <w:semiHidden/>
    <w:rsid w:val="00125EA5"/>
    <w:pPr>
      <w:ind w:left="1985" w:hanging="1985"/>
    </w:pPr>
  </w:style>
  <w:style w:type="paragraph" w:styleId="TOC7">
    <w:name w:val="toc 7"/>
    <w:basedOn w:val="TOC6"/>
    <w:next w:val="Normal"/>
    <w:semiHidden/>
    <w:rsid w:val="00125EA5"/>
    <w:pPr>
      <w:ind w:left="2268" w:hanging="2268"/>
    </w:pPr>
  </w:style>
  <w:style w:type="paragraph" w:styleId="ListBullet2">
    <w:name w:val="List Bullet 2"/>
    <w:basedOn w:val="ListBullet"/>
    <w:rsid w:val="00125EA5"/>
    <w:pPr>
      <w:numPr>
        <w:numId w:val="6"/>
      </w:numPr>
    </w:pPr>
  </w:style>
  <w:style w:type="paragraph" w:styleId="ListBullet">
    <w:name w:val="List Bullet"/>
    <w:basedOn w:val="BodyText"/>
    <w:rsid w:val="00125EA5"/>
    <w:pPr>
      <w:numPr>
        <w:numId w:val="5"/>
      </w:numPr>
    </w:pPr>
  </w:style>
  <w:style w:type="paragraph" w:styleId="ListBullet3">
    <w:name w:val="List Bullet 3"/>
    <w:basedOn w:val="ListBullet2"/>
    <w:rsid w:val="00125EA5"/>
    <w:pPr>
      <w:numPr>
        <w:numId w:val="7"/>
      </w:numPr>
    </w:pPr>
  </w:style>
  <w:style w:type="paragraph" w:customStyle="1" w:styleId="EQ">
    <w:name w:val="EQ"/>
    <w:basedOn w:val="Normal"/>
    <w:next w:val="Normal"/>
    <w:rsid w:val="00125EA5"/>
    <w:pPr>
      <w:keepLines/>
      <w:tabs>
        <w:tab w:val="center" w:pos="4536"/>
        <w:tab w:val="right" w:pos="9072"/>
      </w:tabs>
      <w:spacing w:after="180"/>
      <w:jc w:val="left"/>
    </w:pPr>
    <w:rPr>
      <w:noProof/>
      <w:lang w:eastAsia="en-US"/>
    </w:rPr>
  </w:style>
  <w:style w:type="paragraph" w:styleId="List2">
    <w:name w:val="List 2"/>
    <w:basedOn w:val="List"/>
    <w:rsid w:val="00125EA5"/>
    <w:pPr>
      <w:ind w:left="851"/>
    </w:pPr>
  </w:style>
  <w:style w:type="paragraph" w:styleId="List3">
    <w:name w:val="List 3"/>
    <w:basedOn w:val="List2"/>
    <w:rsid w:val="00125EA5"/>
    <w:pPr>
      <w:ind w:left="1135"/>
    </w:pPr>
  </w:style>
  <w:style w:type="paragraph" w:styleId="List4">
    <w:name w:val="List 4"/>
    <w:basedOn w:val="List3"/>
    <w:rsid w:val="00125EA5"/>
    <w:pPr>
      <w:ind w:left="1418"/>
    </w:pPr>
  </w:style>
  <w:style w:type="paragraph" w:styleId="List5">
    <w:name w:val="List 5"/>
    <w:basedOn w:val="List4"/>
    <w:rsid w:val="00125EA5"/>
    <w:pPr>
      <w:ind w:left="1702"/>
    </w:pPr>
  </w:style>
  <w:style w:type="paragraph" w:customStyle="1" w:styleId="EditorsNote">
    <w:name w:val="Editor's Note"/>
    <w:basedOn w:val="Normal"/>
    <w:rsid w:val="00125EA5"/>
    <w:pPr>
      <w:keepLines/>
      <w:spacing w:after="180"/>
      <w:ind w:left="1135" w:hanging="851"/>
      <w:jc w:val="left"/>
    </w:pPr>
    <w:rPr>
      <w:color w:val="FF0000"/>
      <w:lang w:eastAsia="en-US"/>
    </w:rPr>
  </w:style>
  <w:style w:type="paragraph" w:styleId="ListBullet4">
    <w:name w:val="List Bullet 4"/>
    <w:basedOn w:val="ListBullet3"/>
    <w:rsid w:val="00125EA5"/>
    <w:pPr>
      <w:numPr>
        <w:numId w:val="8"/>
      </w:numPr>
    </w:pPr>
  </w:style>
  <w:style w:type="paragraph" w:styleId="ListBullet5">
    <w:name w:val="List Bullet 5"/>
    <w:basedOn w:val="ListBullet4"/>
    <w:rsid w:val="00125EA5"/>
    <w:pPr>
      <w:numPr>
        <w:numId w:val="4"/>
      </w:numPr>
    </w:pPr>
  </w:style>
  <w:style w:type="paragraph" w:styleId="Footer">
    <w:name w:val="footer"/>
    <w:basedOn w:val="Header"/>
    <w:semiHidden/>
    <w:rsid w:val="00125EA5"/>
    <w:pPr>
      <w:jc w:val="center"/>
    </w:pPr>
    <w:rPr>
      <w:i/>
      <w:iCs/>
    </w:rPr>
  </w:style>
  <w:style w:type="paragraph" w:customStyle="1" w:styleId="Reference">
    <w:name w:val="Reference"/>
    <w:basedOn w:val="Normal"/>
    <w:link w:val="ReferenceChar"/>
    <w:rsid w:val="00125EA5"/>
    <w:pPr>
      <w:numPr>
        <w:numId w:val="2"/>
      </w:numPr>
    </w:pPr>
  </w:style>
  <w:style w:type="paragraph" w:styleId="BalloonText">
    <w:name w:val="Balloon Text"/>
    <w:basedOn w:val="Normal"/>
    <w:semiHidden/>
    <w:rsid w:val="00125EA5"/>
    <w:rPr>
      <w:rFonts w:ascii="Tahoma" w:hAnsi="Tahoma" w:cs="Tahoma"/>
      <w:sz w:val="16"/>
      <w:szCs w:val="16"/>
    </w:rPr>
  </w:style>
  <w:style w:type="character" w:styleId="PageNumber">
    <w:name w:val="page number"/>
    <w:basedOn w:val="DefaultParagraphFont"/>
    <w:semiHidden/>
    <w:rsid w:val="00125EA5"/>
  </w:style>
  <w:style w:type="paragraph" w:styleId="BodyText">
    <w:name w:val="Body Text"/>
    <w:basedOn w:val="Normal"/>
    <w:link w:val="BodyTextChar"/>
    <w:rsid w:val="00125EA5"/>
  </w:style>
  <w:style w:type="character" w:styleId="Hyperlink">
    <w:name w:val="Hyperlink"/>
    <w:uiPriority w:val="99"/>
    <w:rsid w:val="00125EA5"/>
    <w:rPr>
      <w:color w:val="0000FF"/>
      <w:u w:val="single"/>
      <w:lang w:val="en-GB"/>
    </w:rPr>
  </w:style>
  <w:style w:type="character" w:styleId="FollowedHyperlink">
    <w:name w:val="FollowedHyperlink"/>
    <w:semiHidden/>
    <w:rsid w:val="00125EA5"/>
    <w:rPr>
      <w:color w:val="FF0000"/>
      <w:u w:val="single"/>
    </w:rPr>
  </w:style>
  <w:style w:type="character" w:styleId="CommentReference">
    <w:name w:val="annotation reference"/>
    <w:semiHidden/>
    <w:rsid w:val="00125EA5"/>
    <w:rPr>
      <w:sz w:val="16"/>
      <w:szCs w:val="16"/>
    </w:rPr>
  </w:style>
  <w:style w:type="paragraph" w:styleId="CommentText">
    <w:name w:val="annotation text"/>
    <w:basedOn w:val="Normal"/>
    <w:link w:val="CommentTextChar"/>
    <w:rsid w:val="00125EA5"/>
  </w:style>
  <w:style w:type="paragraph" w:styleId="CommentSubject">
    <w:name w:val="annotation subject"/>
    <w:basedOn w:val="CommentText"/>
    <w:next w:val="CommentText"/>
    <w:semiHidden/>
    <w:rsid w:val="00125EA5"/>
    <w:rPr>
      <w:b/>
      <w:bCs/>
    </w:rPr>
  </w:style>
  <w:style w:type="character" w:customStyle="1" w:styleId="Heading1Char">
    <w:name w:val="Heading 1 Char"/>
    <w:link w:val="Heading1"/>
    <w:rsid w:val="00125EA5"/>
    <w:rPr>
      <w:rFonts w:ascii="Arial" w:hAnsi="Arial" w:cs="Arial"/>
      <w:sz w:val="36"/>
      <w:szCs w:val="36"/>
      <w:lang w:val="en-GB" w:eastAsia="zh-CN"/>
    </w:rPr>
  </w:style>
  <w:style w:type="paragraph" w:customStyle="1" w:styleId="B1">
    <w:name w:val="B1"/>
    <w:basedOn w:val="List"/>
    <w:rsid w:val="00125EA5"/>
    <w:pPr>
      <w:spacing w:after="180"/>
      <w:jc w:val="left"/>
    </w:pPr>
    <w:rPr>
      <w:lang w:eastAsia="en-US"/>
    </w:rPr>
  </w:style>
  <w:style w:type="paragraph" w:customStyle="1" w:styleId="B2">
    <w:name w:val="B2"/>
    <w:basedOn w:val="List2"/>
    <w:rsid w:val="00125EA5"/>
    <w:pPr>
      <w:spacing w:after="180"/>
      <w:jc w:val="left"/>
    </w:pPr>
    <w:rPr>
      <w:lang w:eastAsia="en-US"/>
    </w:rPr>
  </w:style>
  <w:style w:type="paragraph" w:customStyle="1" w:styleId="B3">
    <w:name w:val="B3"/>
    <w:basedOn w:val="List3"/>
    <w:rsid w:val="00125EA5"/>
    <w:pPr>
      <w:spacing w:after="180"/>
      <w:jc w:val="left"/>
    </w:pPr>
    <w:rPr>
      <w:lang w:eastAsia="en-US"/>
    </w:rPr>
  </w:style>
  <w:style w:type="paragraph" w:customStyle="1" w:styleId="B4">
    <w:name w:val="B4"/>
    <w:basedOn w:val="List4"/>
    <w:rsid w:val="00125EA5"/>
    <w:pPr>
      <w:spacing w:after="180"/>
      <w:jc w:val="left"/>
    </w:pPr>
    <w:rPr>
      <w:lang w:eastAsia="en-US"/>
    </w:rPr>
  </w:style>
  <w:style w:type="paragraph" w:customStyle="1" w:styleId="Proposal">
    <w:name w:val="Proposal"/>
    <w:basedOn w:val="Normal"/>
    <w:rsid w:val="00125EA5"/>
    <w:pPr>
      <w:numPr>
        <w:numId w:val="3"/>
      </w:numPr>
      <w:tabs>
        <w:tab w:val="clear" w:pos="1304"/>
        <w:tab w:val="left" w:pos="1701"/>
      </w:tabs>
      <w:ind w:left="1701" w:hanging="1701"/>
    </w:pPr>
    <w:rPr>
      <w:b/>
      <w:bCs/>
    </w:rPr>
  </w:style>
  <w:style w:type="character" w:customStyle="1" w:styleId="BodyTextChar">
    <w:name w:val="Body Text Char"/>
    <w:link w:val="BodyText"/>
    <w:rsid w:val="00125EA5"/>
    <w:rPr>
      <w:rFonts w:ascii="Arial" w:hAnsi="Arial"/>
      <w:lang w:val="en-GB" w:eastAsia="zh-CN"/>
    </w:rPr>
  </w:style>
  <w:style w:type="paragraph" w:customStyle="1" w:styleId="B5">
    <w:name w:val="B5"/>
    <w:basedOn w:val="List5"/>
    <w:rsid w:val="00125EA5"/>
    <w:pPr>
      <w:spacing w:after="180"/>
      <w:jc w:val="left"/>
    </w:pPr>
    <w:rPr>
      <w:lang w:eastAsia="en-US"/>
    </w:rPr>
  </w:style>
  <w:style w:type="paragraph" w:customStyle="1" w:styleId="EX">
    <w:name w:val="EX"/>
    <w:basedOn w:val="Normal"/>
    <w:rsid w:val="00125EA5"/>
    <w:pPr>
      <w:keepLines/>
      <w:spacing w:after="180"/>
      <w:ind w:left="1702" w:hanging="1418"/>
      <w:jc w:val="left"/>
    </w:pPr>
    <w:rPr>
      <w:lang w:eastAsia="en-US"/>
    </w:rPr>
  </w:style>
  <w:style w:type="paragraph" w:customStyle="1" w:styleId="EW">
    <w:name w:val="EW"/>
    <w:basedOn w:val="EX"/>
    <w:rsid w:val="00125EA5"/>
    <w:pPr>
      <w:spacing w:after="0"/>
    </w:pPr>
  </w:style>
  <w:style w:type="paragraph" w:customStyle="1" w:styleId="TAL">
    <w:name w:val="TAL"/>
    <w:basedOn w:val="Normal"/>
    <w:rsid w:val="00125EA5"/>
    <w:pPr>
      <w:keepNext/>
      <w:keepLines/>
      <w:spacing w:after="0"/>
      <w:jc w:val="left"/>
    </w:pPr>
    <w:rPr>
      <w:sz w:val="18"/>
      <w:lang w:eastAsia="en-US"/>
    </w:rPr>
  </w:style>
  <w:style w:type="paragraph" w:customStyle="1" w:styleId="TAC">
    <w:name w:val="TAC"/>
    <w:basedOn w:val="TAL"/>
    <w:rsid w:val="00125EA5"/>
    <w:pPr>
      <w:jc w:val="center"/>
    </w:pPr>
  </w:style>
  <w:style w:type="paragraph" w:customStyle="1" w:styleId="TAH">
    <w:name w:val="TAH"/>
    <w:basedOn w:val="TAC"/>
    <w:rsid w:val="00125EA5"/>
    <w:rPr>
      <w:b/>
    </w:rPr>
  </w:style>
  <w:style w:type="paragraph" w:customStyle="1" w:styleId="TAN">
    <w:name w:val="TAN"/>
    <w:basedOn w:val="TAL"/>
    <w:rsid w:val="00125EA5"/>
    <w:pPr>
      <w:ind w:left="851" w:hanging="851"/>
    </w:pPr>
  </w:style>
  <w:style w:type="paragraph" w:customStyle="1" w:styleId="TAR">
    <w:name w:val="TAR"/>
    <w:basedOn w:val="TAL"/>
    <w:rsid w:val="00125EA5"/>
    <w:pPr>
      <w:jc w:val="right"/>
    </w:pPr>
  </w:style>
  <w:style w:type="paragraph" w:customStyle="1" w:styleId="TH">
    <w:name w:val="TH"/>
    <w:basedOn w:val="Normal"/>
    <w:rsid w:val="00125EA5"/>
    <w:pPr>
      <w:keepNext/>
      <w:keepLines/>
      <w:spacing w:before="60" w:after="180"/>
      <w:jc w:val="center"/>
    </w:pPr>
    <w:rPr>
      <w:b/>
      <w:lang w:eastAsia="en-US"/>
    </w:rPr>
  </w:style>
  <w:style w:type="paragraph" w:customStyle="1" w:styleId="TF">
    <w:name w:val="TF"/>
    <w:basedOn w:val="TH"/>
    <w:rsid w:val="00125EA5"/>
    <w:pPr>
      <w:keepNext w:val="0"/>
      <w:spacing w:before="0" w:after="240"/>
    </w:pPr>
  </w:style>
  <w:style w:type="paragraph" w:customStyle="1" w:styleId="TT">
    <w:name w:val="TT"/>
    <w:basedOn w:val="Heading1"/>
    <w:next w:val="Normal"/>
    <w:rsid w:val="00125EA5"/>
    <w:pPr>
      <w:numPr>
        <w:numId w:val="0"/>
      </w:numPr>
      <w:ind w:left="1134" w:hanging="1134"/>
      <w:outlineLvl w:val="9"/>
    </w:pPr>
    <w:rPr>
      <w:rFonts w:cs="Times New Roman"/>
      <w:szCs w:val="20"/>
      <w:lang w:eastAsia="en-US"/>
    </w:rPr>
  </w:style>
  <w:style w:type="paragraph" w:customStyle="1" w:styleId="ZA">
    <w:name w:val="ZA"/>
    <w:rsid w:val="00125E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5E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5EA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25EA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25EA5"/>
  </w:style>
  <w:style w:type="paragraph" w:customStyle="1" w:styleId="ZH">
    <w:name w:val="ZH"/>
    <w:rsid w:val="00125EA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25E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25EA5"/>
    <w:pPr>
      <w:framePr w:hRule="auto" w:wrap="notBeside" w:y="852"/>
    </w:pPr>
    <w:rPr>
      <w:i w:val="0"/>
      <w:sz w:val="40"/>
    </w:rPr>
  </w:style>
  <w:style w:type="paragraph" w:customStyle="1" w:styleId="ZU">
    <w:name w:val="ZU"/>
    <w:rsid w:val="00125E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5EA5"/>
    <w:pPr>
      <w:framePr w:wrap="notBeside" w:y="16161"/>
    </w:pPr>
  </w:style>
  <w:style w:type="paragraph" w:customStyle="1" w:styleId="FP">
    <w:name w:val="FP"/>
    <w:basedOn w:val="Normal"/>
    <w:rsid w:val="00125EA5"/>
    <w:pPr>
      <w:spacing w:after="0"/>
      <w:jc w:val="left"/>
    </w:pPr>
    <w:rPr>
      <w:lang w:eastAsia="en-US"/>
    </w:rPr>
  </w:style>
  <w:style w:type="paragraph" w:customStyle="1" w:styleId="Observation">
    <w:name w:val="Observation"/>
    <w:basedOn w:val="Proposal"/>
    <w:qFormat/>
    <w:rsid w:val="00125EA5"/>
    <w:pPr>
      <w:numPr>
        <w:numId w:val="13"/>
      </w:numPr>
      <w:ind w:left="1701" w:hanging="1701"/>
    </w:pPr>
  </w:style>
  <w:style w:type="paragraph" w:styleId="TableofFigures">
    <w:name w:val="table of figures"/>
    <w:basedOn w:val="Normal"/>
    <w:next w:val="Normal"/>
    <w:uiPriority w:val="99"/>
    <w:rsid w:val="00125EA5"/>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styleId="ListParagraph">
    <w:name w:val="List Paragraph"/>
    <w:basedOn w:val="Normal"/>
    <w:uiPriority w:val="34"/>
    <w:qFormat/>
    <w:rsid w:val="00DD48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82127248">
      <w:bodyDiv w:val="1"/>
      <w:marLeft w:val="0"/>
      <w:marRight w:val="0"/>
      <w:marTop w:val="0"/>
      <w:marBottom w:val="0"/>
      <w:divBdr>
        <w:top w:val="none" w:sz="0" w:space="0" w:color="auto"/>
        <w:left w:val="none" w:sz="0" w:space="0" w:color="auto"/>
        <w:bottom w:val="none" w:sz="0" w:space="0" w:color="auto"/>
        <w:right w:val="none" w:sz="0" w:space="0" w:color="auto"/>
      </w:divBdr>
      <w:divsChild>
        <w:div w:id="1495100484">
          <w:marLeft w:val="274"/>
          <w:marRight w:val="0"/>
          <w:marTop w:val="115"/>
          <w:marBottom w:val="0"/>
          <w:divBdr>
            <w:top w:val="none" w:sz="0" w:space="0" w:color="auto"/>
            <w:left w:val="none" w:sz="0" w:space="0" w:color="auto"/>
            <w:bottom w:val="none" w:sz="0" w:space="0" w:color="auto"/>
            <w:right w:val="none" w:sz="0" w:space="0" w:color="auto"/>
          </w:divBdr>
        </w:div>
        <w:div w:id="278948549">
          <w:marLeft w:val="835"/>
          <w:marRight w:val="0"/>
          <w:marTop w:val="96"/>
          <w:marBottom w:val="0"/>
          <w:divBdr>
            <w:top w:val="none" w:sz="0" w:space="0" w:color="auto"/>
            <w:left w:val="none" w:sz="0" w:space="0" w:color="auto"/>
            <w:bottom w:val="none" w:sz="0" w:space="0" w:color="auto"/>
            <w:right w:val="none" w:sz="0" w:space="0" w:color="auto"/>
          </w:divBdr>
        </w:div>
        <w:div w:id="24908778">
          <w:marLeft w:val="274"/>
          <w:marRight w:val="0"/>
          <w:marTop w:val="115"/>
          <w:marBottom w:val="0"/>
          <w:divBdr>
            <w:top w:val="none" w:sz="0" w:space="0" w:color="auto"/>
            <w:left w:val="none" w:sz="0" w:space="0" w:color="auto"/>
            <w:bottom w:val="none" w:sz="0" w:space="0" w:color="auto"/>
            <w:right w:val="none" w:sz="0" w:space="0" w:color="auto"/>
          </w:divBdr>
        </w:div>
        <w:div w:id="813721772">
          <w:marLeft w:val="835"/>
          <w:marRight w:val="0"/>
          <w:marTop w:val="96"/>
          <w:marBottom w:val="0"/>
          <w:divBdr>
            <w:top w:val="none" w:sz="0" w:space="0" w:color="auto"/>
            <w:left w:val="none" w:sz="0" w:space="0" w:color="auto"/>
            <w:bottom w:val="none" w:sz="0" w:space="0" w:color="auto"/>
            <w:right w:val="none" w:sz="0" w:space="0" w:color="auto"/>
          </w:divBdr>
        </w:div>
        <w:div w:id="2110660687">
          <w:marLeft w:val="274"/>
          <w:marRight w:val="0"/>
          <w:marTop w:val="115"/>
          <w:marBottom w:val="0"/>
          <w:divBdr>
            <w:top w:val="none" w:sz="0" w:space="0" w:color="auto"/>
            <w:left w:val="none" w:sz="0" w:space="0" w:color="auto"/>
            <w:bottom w:val="none" w:sz="0" w:space="0" w:color="auto"/>
            <w:right w:val="none" w:sz="0" w:space="0" w:color="auto"/>
          </w:divBdr>
        </w:div>
        <w:div w:id="185992360">
          <w:marLeft w:val="835"/>
          <w:marRight w:val="0"/>
          <w:marTop w:val="96"/>
          <w:marBottom w:val="0"/>
          <w:divBdr>
            <w:top w:val="none" w:sz="0" w:space="0" w:color="auto"/>
            <w:left w:val="none" w:sz="0" w:space="0" w:color="auto"/>
            <w:bottom w:val="none" w:sz="0" w:space="0" w:color="auto"/>
            <w:right w:val="none" w:sz="0" w:space="0" w:color="auto"/>
          </w:divBdr>
        </w:div>
        <w:div w:id="514342253">
          <w:marLeft w:val="274"/>
          <w:marRight w:val="0"/>
          <w:marTop w:val="115"/>
          <w:marBottom w:val="0"/>
          <w:divBdr>
            <w:top w:val="none" w:sz="0" w:space="0" w:color="auto"/>
            <w:left w:val="none" w:sz="0" w:space="0" w:color="auto"/>
            <w:bottom w:val="none" w:sz="0" w:space="0" w:color="auto"/>
            <w:right w:val="none" w:sz="0" w:space="0" w:color="auto"/>
          </w:divBdr>
        </w:div>
        <w:div w:id="2053922605">
          <w:marLeft w:val="835"/>
          <w:marRight w:val="0"/>
          <w:marTop w:val="96"/>
          <w:marBottom w:val="0"/>
          <w:divBdr>
            <w:top w:val="none" w:sz="0" w:space="0" w:color="auto"/>
            <w:left w:val="none" w:sz="0" w:space="0" w:color="auto"/>
            <w:bottom w:val="none" w:sz="0" w:space="0" w:color="auto"/>
            <w:right w:val="none" w:sz="0" w:space="0" w:color="auto"/>
          </w:divBdr>
        </w:div>
        <w:div w:id="120657782">
          <w:marLeft w:val="274"/>
          <w:marRight w:val="0"/>
          <w:marTop w:val="115"/>
          <w:marBottom w:val="0"/>
          <w:divBdr>
            <w:top w:val="none" w:sz="0" w:space="0" w:color="auto"/>
            <w:left w:val="none" w:sz="0" w:space="0" w:color="auto"/>
            <w:bottom w:val="none" w:sz="0" w:space="0" w:color="auto"/>
            <w:right w:val="none" w:sz="0" w:space="0" w:color="auto"/>
          </w:divBdr>
        </w:div>
        <w:div w:id="1078598198">
          <w:marLeft w:val="835"/>
          <w:marRight w:val="0"/>
          <w:marTop w:val="96"/>
          <w:marBottom w:val="0"/>
          <w:divBdr>
            <w:top w:val="none" w:sz="0" w:space="0" w:color="auto"/>
            <w:left w:val="none" w:sz="0" w:space="0" w:color="auto"/>
            <w:bottom w:val="none" w:sz="0" w:space="0" w:color="auto"/>
            <w:right w:val="none" w:sz="0" w:space="0" w:color="auto"/>
          </w:divBdr>
        </w:div>
      </w:divsChild>
    </w:div>
    <w:div w:id="82131570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196390239">
      <w:bodyDiv w:val="1"/>
      <w:marLeft w:val="0"/>
      <w:marRight w:val="0"/>
      <w:marTop w:val="0"/>
      <w:marBottom w:val="0"/>
      <w:divBdr>
        <w:top w:val="none" w:sz="0" w:space="0" w:color="auto"/>
        <w:left w:val="none" w:sz="0" w:space="0" w:color="auto"/>
        <w:bottom w:val="none" w:sz="0" w:space="0" w:color="auto"/>
        <w:right w:val="none" w:sz="0" w:space="0" w:color="auto"/>
      </w:divBdr>
      <w:divsChild>
        <w:div w:id="1144396593">
          <w:marLeft w:val="274"/>
          <w:marRight w:val="0"/>
          <w:marTop w:val="115"/>
          <w:marBottom w:val="0"/>
          <w:divBdr>
            <w:top w:val="none" w:sz="0" w:space="0" w:color="auto"/>
            <w:left w:val="none" w:sz="0" w:space="0" w:color="auto"/>
            <w:bottom w:val="none" w:sz="0" w:space="0" w:color="auto"/>
            <w:right w:val="none" w:sz="0" w:space="0" w:color="auto"/>
          </w:divBdr>
        </w:div>
        <w:div w:id="953832203">
          <w:marLeft w:val="835"/>
          <w:marRight w:val="0"/>
          <w:marTop w:val="96"/>
          <w:marBottom w:val="0"/>
          <w:divBdr>
            <w:top w:val="none" w:sz="0" w:space="0" w:color="auto"/>
            <w:left w:val="none" w:sz="0" w:space="0" w:color="auto"/>
            <w:bottom w:val="none" w:sz="0" w:space="0" w:color="auto"/>
            <w:right w:val="none" w:sz="0" w:space="0" w:color="auto"/>
          </w:divBdr>
        </w:div>
        <w:div w:id="131603879">
          <w:marLeft w:val="274"/>
          <w:marRight w:val="0"/>
          <w:marTop w:val="115"/>
          <w:marBottom w:val="0"/>
          <w:divBdr>
            <w:top w:val="none" w:sz="0" w:space="0" w:color="auto"/>
            <w:left w:val="none" w:sz="0" w:space="0" w:color="auto"/>
            <w:bottom w:val="none" w:sz="0" w:space="0" w:color="auto"/>
            <w:right w:val="none" w:sz="0" w:space="0" w:color="auto"/>
          </w:divBdr>
        </w:div>
        <w:div w:id="857352081">
          <w:marLeft w:val="835"/>
          <w:marRight w:val="0"/>
          <w:marTop w:val="96"/>
          <w:marBottom w:val="0"/>
          <w:divBdr>
            <w:top w:val="none" w:sz="0" w:space="0" w:color="auto"/>
            <w:left w:val="none" w:sz="0" w:space="0" w:color="auto"/>
            <w:bottom w:val="none" w:sz="0" w:space="0" w:color="auto"/>
            <w:right w:val="none" w:sz="0" w:space="0" w:color="auto"/>
          </w:divBdr>
        </w:div>
        <w:div w:id="1480803611">
          <w:marLeft w:val="274"/>
          <w:marRight w:val="0"/>
          <w:marTop w:val="115"/>
          <w:marBottom w:val="0"/>
          <w:divBdr>
            <w:top w:val="none" w:sz="0" w:space="0" w:color="auto"/>
            <w:left w:val="none" w:sz="0" w:space="0" w:color="auto"/>
            <w:bottom w:val="none" w:sz="0" w:space="0" w:color="auto"/>
            <w:right w:val="none" w:sz="0" w:space="0" w:color="auto"/>
          </w:divBdr>
        </w:div>
        <w:div w:id="1384938957">
          <w:marLeft w:val="835"/>
          <w:marRight w:val="0"/>
          <w:marTop w:val="96"/>
          <w:marBottom w:val="0"/>
          <w:divBdr>
            <w:top w:val="none" w:sz="0" w:space="0" w:color="auto"/>
            <w:left w:val="none" w:sz="0" w:space="0" w:color="auto"/>
            <w:bottom w:val="none" w:sz="0" w:space="0" w:color="auto"/>
            <w:right w:val="none" w:sz="0" w:space="0" w:color="auto"/>
          </w:divBdr>
        </w:div>
        <w:div w:id="1853184675">
          <w:marLeft w:val="274"/>
          <w:marRight w:val="0"/>
          <w:marTop w:val="115"/>
          <w:marBottom w:val="0"/>
          <w:divBdr>
            <w:top w:val="none" w:sz="0" w:space="0" w:color="auto"/>
            <w:left w:val="none" w:sz="0" w:space="0" w:color="auto"/>
            <w:bottom w:val="none" w:sz="0" w:space="0" w:color="auto"/>
            <w:right w:val="none" w:sz="0" w:space="0" w:color="auto"/>
          </w:divBdr>
        </w:div>
        <w:div w:id="2143882455">
          <w:marLeft w:val="835"/>
          <w:marRight w:val="0"/>
          <w:marTop w:val="96"/>
          <w:marBottom w:val="0"/>
          <w:divBdr>
            <w:top w:val="none" w:sz="0" w:space="0" w:color="auto"/>
            <w:left w:val="none" w:sz="0" w:space="0" w:color="auto"/>
            <w:bottom w:val="none" w:sz="0" w:space="0" w:color="auto"/>
            <w:right w:val="none" w:sz="0" w:space="0" w:color="auto"/>
          </w:divBdr>
        </w:div>
        <w:div w:id="2034190223">
          <w:marLeft w:val="274"/>
          <w:marRight w:val="0"/>
          <w:marTop w:val="115"/>
          <w:marBottom w:val="0"/>
          <w:divBdr>
            <w:top w:val="none" w:sz="0" w:space="0" w:color="auto"/>
            <w:left w:val="none" w:sz="0" w:space="0" w:color="auto"/>
            <w:bottom w:val="none" w:sz="0" w:space="0" w:color="auto"/>
            <w:right w:val="none" w:sz="0" w:space="0" w:color="auto"/>
          </w:divBdr>
        </w:div>
        <w:div w:id="1307934230">
          <w:marLeft w:val="835"/>
          <w:marRight w:val="0"/>
          <w:marTop w:val="96"/>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2.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4.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5.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7.xml><?xml version="1.0" encoding="utf-8"?>
<ds:datastoreItem xmlns:ds="http://schemas.openxmlformats.org/officeDocument/2006/customXml" ds:itemID="{F4D6FFD6-064D-4D72-B875-9E8309A43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422</TotalTime>
  <Pages>3</Pages>
  <Words>798</Words>
  <Characters>6469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Jianfeng Wang;Yanli Zheng</dc:creator>
  <cp:keywords>Ericsson; TDoc; 3GPP</cp:keywords>
  <cp:lastModifiedBy>Stefan Wager</cp:lastModifiedBy>
  <cp:revision>12</cp:revision>
  <cp:lastPrinted>2008-01-31T07:09:00Z</cp:lastPrinted>
  <dcterms:created xsi:type="dcterms:W3CDTF">2016-09-29T09:02:00Z</dcterms:created>
  <dcterms:modified xsi:type="dcterms:W3CDTF">2016-09-30T23:41:00Z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